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ACC5B">
      <w:pPr>
        <w:jc w:val="center"/>
      </w:pPr>
      <w:r>
        <w:rPr>
          <w:rFonts w:ascii="黑体" w:hAnsi="黑体" w:eastAsia="黑体"/>
          <w:b/>
          <w:sz w:val="32"/>
        </w:rPr>
        <w:t>试验室环境下低轨卫星通信系统EMC仿真技术（两页纸简化版）</w:t>
      </w:r>
    </w:p>
    <w:p w14:paraId="12913140">
      <w:r>
        <w:rPr>
          <w:rFonts w:ascii="黑体" w:hAnsi="黑体" w:eastAsia="黑体"/>
          <w:b/>
          <w:sz w:val="26"/>
        </w:rPr>
        <w:t>1 背景与痛点</w:t>
      </w:r>
    </w:p>
    <w:p w14:paraId="48CE9307">
      <w:pPr>
        <w:ind w:left="340" w:hanging="198"/>
      </w:pPr>
      <w:r>
        <w:rPr>
          <w:rFonts w:ascii="宋体" w:hAnsi="宋体" w:eastAsia="宋体"/>
          <w:b w:val="0"/>
          <w:sz w:val="22"/>
        </w:rPr>
        <w:t>• 现有实验室测试难以复现真实空间/地面多源干扰的耦合效应，导致“实验室结果—在轨表现”偏差。</w:t>
      </w:r>
    </w:p>
    <w:p w14:paraId="301D359E">
      <w:pPr>
        <w:ind w:left="340" w:hanging="198"/>
      </w:pPr>
      <w:r>
        <w:rPr>
          <w:rFonts w:ascii="宋体" w:hAnsi="宋体" w:eastAsia="宋体"/>
          <w:b w:val="0"/>
          <w:sz w:val="22"/>
        </w:rPr>
        <w:t>• 多低轨卫星动态组网存在切换与多跳链路不稳定等问题，极端场景难以人工穷举。</w:t>
      </w:r>
    </w:p>
    <w:p w14:paraId="39152452">
      <w:pPr>
        <w:ind w:left="340" w:hanging="198"/>
      </w:pPr>
      <w:r>
        <w:rPr>
          <w:rFonts w:ascii="宋体" w:hAnsi="宋体" w:eastAsia="宋体"/>
          <w:b w:val="0"/>
          <w:sz w:val="22"/>
        </w:rPr>
        <w:t>• EMC要求（骚扰测量与抗扰度试验）需要与行业标准限值/判据对齐并可在仿真中闭环验证。</w:t>
      </w:r>
    </w:p>
    <w:p w14:paraId="2F7A2288">
      <w:r>
        <w:rPr>
          <w:rFonts w:ascii="黑体" w:hAnsi="黑体" w:eastAsia="黑体"/>
          <w:b/>
          <w:sz w:val="26"/>
        </w:rPr>
        <w:t>2 总体目标</w:t>
      </w:r>
    </w:p>
    <w:p w14:paraId="319418A3">
      <w:r>
        <w:rPr>
          <w:rFonts w:ascii="宋体" w:hAnsi="宋体" w:eastAsia="宋体"/>
          <w:b w:val="0"/>
          <w:sz w:val="22"/>
        </w:rPr>
        <w:t>以“实验测量—模型抽象—仿真推演—智能生成”为主线，建立可复现、可校准、可扩展的实验室EMC仿真平台，实现：</w:t>
      </w:r>
    </w:p>
    <w:p w14:paraId="495D9EAC">
      <w:pPr>
        <w:ind w:left="340" w:hanging="198"/>
      </w:pPr>
      <w:r>
        <w:rPr>
          <w:rFonts w:ascii="宋体" w:hAnsi="宋体" w:eastAsia="宋体"/>
          <w:b w:val="0"/>
          <w:sz w:val="22"/>
        </w:rPr>
        <w:t>• 单星链路与多星组网通信在复合干扰下的性能评估（吞吐/时延/丢包/误码/切换/多跳等）。</w:t>
      </w:r>
    </w:p>
    <w:p w14:paraId="01F3AFA3">
      <w:pPr>
        <w:ind w:left="340" w:hanging="198"/>
      </w:pPr>
      <w:r>
        <w:rPr>
          <w:rFonts w:ascii="宋体" w:hAnsi="宋体" w:eastAsia="宋体"/>
          <w:b w:val="0"/>
          <w:sz w:val="22"/>
        </w:rPr>
        <w:t>• 基于标准的骚扰测量仿真与抗扰度试验仿真，覆盖关键频段/限值/判据。</w:t>
      </w:r>
    </w:p>
    <w:p w14:paraId="5958F743">
      <w:pPr>
        <w:ind w:left="340" w:hanging="198"/>
      </w:pPr>
      <w:r>
        <w:rPr>
          <w:rFonts w:ascii="宋体" w:hAnsi="宋体" w:eastAsia="宋体"/>
          <w:b w:val="0"/>
          <w:sz w:val="22"/>
        </w:rPr>
        <w:t>• 通过GA/GAN等算法自动生成“最恶劣”压力测试用例，形成防护方案建议与兼容性评分。</w:t>
      </w:r>
    </w:p>
    <w:p w14:paraId="5B410581">
      <w:r>
        <w:rPr>
          <w:rFonts w:ascii="黑体" w:hAnsi="黑体" w:eastAsia="黑体"/>
          <w:b/>
          <w:sz w:val="26"/>
        </w:rPr>
        <w:t>3 关键技术说明图</w:t>
      </w:r>
    </w:p>
    <w:p w14:paraId="2B6BA01E">
      <w:pPr>
        <w:jc w:val="center"/>
      </w:pPr>
      <w:r>
        <w:rPr>
          <w:rFonts w:ascii="宋体" w:hAnsi="宋体" w:eastAsia="宋体"/>
          <w:b w:val="0"/>
          <w:sz w:val="20"/>
        </w:rPr>
        <w:t>图1 关键技术说明图：实验室EMC仿真平台与智能用例生成（A–D四区域闭环）</w:t>
      </w:r>
    </w:p>
    <w:p w14:paraId="00EDDAF5">
      <w:pPr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6261735" cy="4384675"/>
            <wp:effectExtent l="0" t="0" r="5715" b="6350"/>
            <wp:docPr id="6" name="图片 6" descr="69bb216e-37c8-4c63-a17d-92b18d2c7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9bb216e-37c8-4c63-a17d-92b18d2c789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73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0C93">
      <w:r>
        <w:rPr>
          <w:rFonts w:ascii="黑体" w:hAnsi="黑体" w:eastAsia="黑体"/>
          <w:b/>
          <w:sz w:val="26"/>
        </w:rPr>
        <w:t>4 研究内容（与图1对应）</w:t>
      </w:r>
    </w:p>
    <w:p w14:paraId="633DF679">
      <w:r>
        <w:rPr>
          <w:rFonts w:ascii="黑体" w:hAnsi="黑体" w:eastAsia="黑体"/>
          <w:b/>
          <w:sz w:val="24"/>
        </w:rPr>
        <w:t>4.1 区域A：实验测量与数据集</w:t>
      </w:r>
    </w:p>
    <w:p w14:paraId="0B525119">
      <w:pPr>
        <w:ind w:left="340" w:hanging="198"/>
      </w:pPr>
      <w:r>
        <w:rPr>
          <w:rFonts w:ascii="宋体" w:hAnsi="宋体" w:eastAsia="宋体"/>
          <w:b w:val="0"/>
          <w:sz w:val="22"/>
        </w:rPr>
        <w:t>• 搭建微波暗室/GNSS暗箱环境，形成“信道/干扰—性能响应”基准数据集（距离、带宽、多普勒、同频/邻频/脉冲噪声等）。</w:t>
      </w:r>
    </w:p>
    <w:p w14:paraId="21BBA8BE">
      <w:pPr>
        <w:ind w:left="340" w:hanging="198"/>
      </w:pPr>
      <w:r>
        <w:rPr>
          <w:rFonts w:ascii="宋体" w:hAnsi="宋体" w:eastAsia="宋体"/>
          <w:b w:val="0"/>
          <w:sz w:val="22"/>
        </w:rPr>
        <w:t>• 输出：基础参数数据集 + EMC仿真基准（含骚扰/抗扰度关键量测参数）。</w:t>
      </w:r>
    </w:p>
    <w:p w14:paraId="53492E2F">
      <w:r>
        <w:rPr>
          <w:rFonts w:ascii="黑体" w:hAnsi="黑体" w:eastAsia="黑体"/>
          <w:b/>
          <w:sz w:val="24"/>
        </w:rPr>
        <w:t>4.2 区域B：模型抽象与接口校正</w:t>
      </w:r>
    </w:p>
    <w:p w14:paraId="49958949">
      <w:pPr>
        <w:ind w:left="340" w:hanging="198"/>
      </w:pPr>
      <w:r>
        <w:rPr>
          <w:rFonts w:ascii="宋体" w:hAnsi="宋体" w:eastAsia="宋体"/>
          <w:b w:val="0"/>
          <w:sz w:val="22"/>
        </w:rPr>
        <w:t>• 用曲线拟合/轻量ML建立可复用接口函数（丢包率、时延、误码等随条件动态变化）。</w:t>
      </w:r>
    </w:p>
    <w:p w14:paraId="6085DE99">
      <w:pPr>
        <w:ind w:left="340" w:hanging="198"/>
      </w:pPr>
      <w:r>
        <w:rPr>
          <w:rFonts w:ascii="宋体" w:hAnsi="宋体" w:eastAsia="宋体"/>
          <w:b w:val="0"/>
          <w:sz w:val="22"/>
        </w:rPr>
        <w:t>• 将标准限值/判据转为仿真约束，确保与实测一致性与可解释性。</w:t>
      </w:r>
    </w:p>
    <w:p w14:paraId="1942A6EB">
      <w:r>
        <w:rPr>
          <w:rFonts w:ascii="黑体" w:hAnsi="黑体" w:eastAsia="黑体"/>
          <w:b/>
          <w:sz w:val="24"/>
        </w:rPr>
        <w:t>4.3 区域C：EMC仿真模块集成</w:t>
      </w:r>
    </w:p>
    <w:p w14:paraId="64FF2F7A">
      <w:pPr>
        <w:ind w:left="340" w:hanging="198"/>
      </w:pPr>
      <w:r>
        <w:rPr>
          <w:rFonts w:ascii="宋体" w:hAnsi="宋体" w:eastAsia="宋体"/>
          <w:b w:val="0"/>
          <w:sz w:val="22"/>
        </w:rPr>
        <w:t>• 骚扰测量仿真：辐射杂散（机壳端口）、辐射/传导骚扰（电压法/电流法）等，并嵌入检波/限值判定逻辑。</w:t>
      </w:r>
    </w:p>
    <w:p w14:paraId="32DC6634">
      <w:pPr>
        <w:ind w:left="340" w:hanging="198"/>
      </w:pPr>
      <w:r>
        <w:rPr>
          <w:rFonts w:ascii="宋体" w:hAnsi="宋体" w:eastAsia="宋体"/>
          <w:b w:val="0"/>
          <w:sz w:val="22"/>
        </w:rPr>
        <w:t>• 抗扰度试验仿真：辐射抗扰度、BCI/大电流注入、ESD等，输出性能判据（如A类吞吐≥95%）通过/不通过。</w:t>
      </w:r>
    </w:p>
    <w:p w14:paraId="01981E47">
      <w:r>
        <w:rPr>
          <w:rFonts w:ascii="黑体" w:hAnsi="黑体" w:eastAsia="黑体"/>
          <w:b/>
          <w:sz w:val="24"/>
        </w:rPr>
        <w:t>4.4 区域D：智能用例生成与闭环验证</w:t>
      </w:r>
    </w:p>
    <w:p w14:paraId="3BD95641">
      <w:pPr>
        <w:ind w:left="340" w:hanging="198"/>
      </w:pPr>
      <w:r>
        <w:rPr>
          <w:rFonts w:ascii="宋体" w:hAnsi="宋体" w:eastAsia="宋体"/>
          <w:b w:val="0"/>
          <w:sz w:val="22"/>
        </w:rPr>
        <w:t>• 建立干扰特征库（频段/调制/功率/时序/场景标签：Ku/Ka、公网、铁路、城市等）。</w:t>
      </w:r>
    </w:p>
    <w:p w14:paraId="4DC0E87D">
      <w:pPr>
        <w:ind w:left="340" w:hanging="198"/>
      </w:pPr>
      <w:r>
        <w:rPr>
          <w:rFonts w:ascii="宋体" w:hAnsi="宋体" w:eastAsia="宋体"/>
          <w:b w:val="0"/>
          <w:sz w:val="22"/>
        </w:rPr>
        <w:t>• GA进行高效搜索，GAN生成极端时序形态，形成可配置、可解释的“最恶劣”测试用例生成方程。</w:t>
      </w:r>
    </w:p>
    <w:p w14:paraId="3C3A6CF5">
      <w:pPr>
        <w:ind w:left="340" w:hanging="198"/>
      </w:pPr>
      <w:r>
        <w:rPr>
          <w:rFonts w:ascii="宋体" w:hAnsi="宋体" w:eastAsia="宋体"/>
          <w:b w:val="0"/>
          <w:sz w:val="22"/>
        </w:rPr>
        <w:t>• 形成仿真—实测闭环：用例库、薄弱点定位、抗干扰/EMC正向设计建议。</w:t>
      </w:r>
    </w:p>
    <w:p w14:paraId="7B133AD5">
      <w:r>
        <w:rPr>
          <w:rFonts w:ascii="黑体" w:hAnsi="黑体" w:eastAsia="黑体"/>
          <w:b/>
          <w:sz w:val="26"/>
        </w:rPr>
        <w:t>5 预期成果与交付物</w:t>
      </w:r>
    </w:p>
    <w:p w14:paraId="64DF502A">
      <w:pPr>
        <w:ind w:left="340" w:hanging="198"/>
      </w:pPr>
      <w:r>
        <w:rPr>
          <w:rFonts w:ascii="宋体" w:hAnsi="宋体" w:eastAsia="宋体"/>
          <w:b w:val="0"/>
          <w:sz w:val="22"/>
        </w:rPr>
        <w:t>• 标准化基础数据集：通信链路参数 + EMC（骚扰/抗扰度）基准数据。</w:t>
      </w:r>
    </w:p>
    <w:p w14:paraId="1325FDCE">
      <w:pPr>
        <w:ind w:left="340" w:hanging="198"/>
      </w:pPr>
      <w:r>
        <w:rPr>
          <w:rFonts w:ascii="宋体" w:hAnsi="宋体" w:eastAsia="宋体"/>
          <w:b w:val="0"/>
          <w:sz w:val="22"/>
        </w:rPr>
        <w:t>• 实验室EMC仿真平台：接口函数库 + 骚扰/抗扰度仿真模块 + 判据/限值判定。</w:t>
      </w:r>
    </w:p>
    <w:p w14:paraId="7AF1E217">
      <w:pPr>
        <w:ind w:left="340" w:hanging="198"/>
      </w:pPr>
      <w:r>
        <w:rPr>
          <w:rFonts w:ascii="宋体" w:hAnsi="宋体" w:eastAsia="宋体"/>
          <w:b w:val="0"/>
          <w:sz w:val="22"/>
        </w:rPr>
        <w:t>• 智能压力测试系统：干扰特征库 + GA/GAN用例生成 + 闭环验证流程。</w:t>
      </w:r>
    </w:p>
    <w:p w14:paraId="2F2A106A">
      <w:pPr>
        <w:ind w:left="340" w:hanging="198"/>
      </w:pPr>
      <w:r>
        <w:rPr>
          <w:rFonts w:ascii="宋体" w:hAnsi="宋体" w:eastAsia="宋体"/>
          <w:b w:val="0"/>
          <w:sz w:val="22"/>
        </w:rPr>
        <w:t>• 输出报告：EMC/通信联合评估报告 + 兼容性评分 + 防护方案建议。</w:t>
      </w:r>
    </w:p>
    <w:p w14:paraId="2F787C11">
      <w:r>
        <w:rPr>
          <w:rFonts w:ascii="黑体" w:hAnsi="黑体" w:eastAsia="黑体"/>
          <w:b/>
          <w:sz w:val="26"/>
        </w:rPr>
        <w:t>6 计划（建议）</w:t>
      </w:r>
    </w:p>
    <w:p w14:paraId="6618DC5C">
      <w:pPr>
        <w:ind w:left="340" w:hanging="198"/>
      </w:pPr>
      <w:r>
        <w:rPr>
          <w:rFonts w:ascii="宋体" w:hAnsi="宋体" w:eastAsia="宋体"/>
          <w:b w:val="0"/>
          <w:sz w:val="22"/>
        </w:rPr>
        <w:t>• 阶段1：</w:t>
      </w:r>
      <w:r>
        <w:rPr>
          <w:rFonts w:hint="eastAsia" w:ascii="宋体" w:hAnsi="宋体" w:eastAsia="宋体"/>
          <w:b w:val="0"/>
          <w:sz w:val="22"/>
          <w:lang w:val="en-US" w:eastAsia="zh-CN"/>
        </w:rPr>
        <w:t>试验室</w:t>
      </w:r>
      <w:r>
        <w:rPr>
          <w:rFonts w:ascii="宋体" w:hAnsi="宋体" w:eastAsia="宋体"/>
          <w:b w:val="0"/>
          <w:sz w:val="22"/>
        </w:rPr>
        <w:t>环境搭建与基准数据集</w:t>
      </w:r>
      <w:r>
        <w:rPr>
          <w:rFonts w:hint="eastAsia" w:ascii="宋体" w:hAnsi="宋体" w:eastAsia="宋体"/>
          <w:b w:val="0"/>
          <w:sz w:val="22"/>
          <w:lang w:val="en-US" w:eastAsia="zh-CN"/>
        </w:rPr>
        <w:t>收</w:t>
      </w:r>
      <w:r>
        <w:rPr>
          <w:rFonts w:ascii="宋体" w:hAnsi="宋体" w:eastAsia="宋体"/>
          <w:b w:val="0"/>
          <w:sz w:val="22"/>
        </w:rPr>
        <w:t>集。</w:t>
      </w:r>
    </w:p>
    <w:p w14:paraId="5D5477A6">
      <w:pPr>
        <w:ind w:left="340" w:hanging="198"/>
      </w:pPr>
      <w:r>
        <w:rPr>
          <w:rFonts w:ascii="宋体" w:hAnsi="宋体" w:eastAsia="宋体"/>
          <w:b w:val="0"/>
          <w:sz w:val="22"/>
        </w:rPr>
        <w:t>• 阶段2：接口函数/模型校正，完成骚扰测量与抗扰度仿真模块最小闭环。</w:t>
      </w:r>
    </w:p>
    <w:p w14:paraId="75ADA786">
      <w:pPr>
        <w:ind w:left="340" w:hanging="198"/>
      </w:pPr>
      <w:r>
        <w:rPr>
          <w:rFonts w:ascii="宋体" w:hAnsi="宋体" w:eastAsia="宋体"/>
          <w:b w:val="0"/>
          <w:sz w:val="22"/>
        </w:rPr>
        <w:t>• 阶段3：干扰特征库 + GA/GAN用例生成，完成压力测试与对比评估。</w:t>
      </w:r>
    </w:p>
    <w:p w14:paraId="77B1DC42">
      <w:pPr>
        <w:ind w:left="340" w:hanging="198"/>
      </w:pPr>
      <w:r>
        <w:rPr>
          <w:rFonts w:ascii="宋体" w:hAnsi="宋体" w:eastAsia="宋体"/>
          <w:b w:val="0"/>
          <w:sz w:val="22"/>
        </w:rPr>
        <w:t>• 阶段4</w:t>
      </w:r>
      <w:bookmarkStart w:id="0" w:name="_GoBack"/>
      <w:bookmarkEnd w:id="0"/>
      <w:r>
        <w:rPr>
          <w:rFonts w:ascii="宋体" w:hAnsi="宋体" w:eastAsia="宋体"/>
          <w:b w:val="0"/>
          <w:sz w:val="22"/>
        </w:rPr>
        <w:t>：工程化固化（用例库、自动报告、评分体系），形成标准化交付。</w:t>
      </w:r>
    </w:p>
    <w:sectPr>
      <w:pgSz w:w="11906" w:h="16838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CD441E"/>
    <w:rsid w:val="124C7216"/>
    <w:rsid w:val="1DF20628"/>
    <w:rsid w:val="2B277B63"/>
    <w:rsid w:val="2C5A5D16"/>
    <w:rsid w:val="68B00491"/>
    <w:rsid w:val="6D8A7502"/>
    <w:rsid w:val="70A9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1093</Words>
  <Characters>1158</Characters>
  <Lines>0</Lines>
  <Paragraphs>0</Paragraphs>
  <TotalTime>2</TotalTime>
  <ScaleCrop>false</ScaleCrop>
  <LinksUpToDate>false</LinksUpToDate>
  <CharactersWithSpaces>1210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52834</cp:lastModifiedBy>
  <dcterms:modified xsi:type="dcterms:W3CDTF">2026-01-23T11:06:35Z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eyJoZGlkIjoiOTA2YTRlY2JlZWM2OTNlNjc4YzQ3Njc0MzAwMDYwMTMiLCJ1c2VySWQiOiI2NTYzNjI1NzQifQ==</vt:lpwstr>
  </property>
  <property fmtid="{D5CDD505-2E9C-101B-9397-08002B2CF9AE}" pid="3" name="KSOProductBuildVer">
    <vt:lpwstr>2052-12.1.0.24655</vt:lpwstr>
  </property>
  <property fmtid="{D5CDD505-2E9C-101B-9397-08002B2CF9AE}" pid="4" name="ICV">
    <vt:lpwstr>CC63C9B456094B729A21776AA0390C30_13</vt:lpwstr>
  </property>
</Properties>
</file>