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5B2E49">
      <w:pPr>
        <w:jc w:val="center"/>
      </w:pPr>
      <w:r>
        <w:rPr>
          <w:b/>
          <w:sz w:val="32"/>
        </w:rPr>
        <w:t>试验室环境下低轨卫星通信系统EMC仿真技术（两页纸）</w:t>
      </w:r>
    </w:p>
    <w:p w14:paraId="65BB5FB8">
      <w:r>
        <w:rPr>
          <w:b/>
        </w:rPr>
        <w:t>具体实施内容</w:t>
      </w:r>
    </w:p>
    <w:p w14:paraId="363D34CE">
      <w:r>
        <w:t>按“</w:t>
      </w:r>
      <w:r>
        <w:rPr>
          <w:rFonts w:hint="eastAsia"/>
          <w:lang w:val="en-US" w:eastAsia="zh-CN"/>
        </w:rPr>
        <w:t>先</w:t>
      </w:r>
      <w:r>
        <w:t>数据建库、再抽象对齐、再模块集成、最后智能生成与闭环验证”的顺序推进；各模块独立建设并验证，最终在统一平台完成通信性能与EMC的联合评估。</w:t>
      </w:r>
    </w:p>
    <w:p w14:paraId="44BF0268">
      <w:pPr>
        <w:pStyle w:val="30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6286500" cy="3536950"/>
            <wp:effectExtent l="0" t="0" r="0" b="635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536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5C8430">
      <w:r>
        <w:t>公开数据获取与基准数据集构建</w:t>
      </w:r>
      <w:bookmarkStart w:id="0" w:name="_GoBack"/>
      <w:bookmarkEnd w:id="0"/>
    </w:p>
    <w:p w14:paraId="6900C2D8">
      <w:pPr>
        <w:ind w:firstLine="720" w:firstLineChars="0"/>
      </w:pPr>
      <w:r>
        <w:t>公开数据源梳理与获取</w:t>
      </w:r>
    </w:p>
    <w:p w14:paraId="0558EB8D">
      <w:r>
        <w:t>（1）梳理并获取公开发布的低轨卫星通信链路、组网与抗干扰性能数据集/开源仿真数据（论文附录、开源仓库、公开评测等），明确数据许可与适用范围。</w:t>
      </w:r>
    </w:p>
    <w:p w14:paraId="54091A2C">
      <w:r>
        <w:t>（2）汇集行业标准公开条款与限值，以及公开的EMC合规/型式试验报告或第三方公开测评数据，覆盖辐射杂散、辐射/传导骚扰、辐射抗扰度、BCI、大电流注入、ESD等关键项目。</w:t>
      </w:r>
    </w:p>
    <w:p w14:paraId="166E9D05">
      <w:r>
        <w:t>（3）建立数据清洗与统一标注规范：场景标签（星地/星间、多普勒、频段、干扰类型/强度/时序等）、指标口径（吞吐/时延/丢包/误码/切换等）与版本管理，保证可复用与可追溯。</w:t>
      </w:r>
    </w:p>
    <w:p w14:paraId="6159F21C">
      <w:pPr>
        <w:ind w:firstLine="720" w:firstLineChars="0"/>
      </w:pPr>
      <w:r>
        <w:t>通信链路性能指标提取与重构</w:t>
      </w:r>
    </w:p>
    <w:p w14:paraId="2AEAC571">
      <w:r>
        <w:t>（1）基线指标提取：在距离、带宽、多普勒/频偏等条件下，从公开数据集中统计吞吐、时延、丢包、误码等基线分布。</w:t>
      </w:r>
    </w:p>
    <w:p w14:paraId="4E1F4BCF">
      <w:r>
        <w:t>（2）抗干扰退化曲线重构：按干扰类型/强度/时序等维度聚合，生成性能退化曲线，并补充切换成功率、多跳稳定性等组网关键指标。</w:t>
      </w:r>
    </w:p>
    <w:p w14:paraId="6F03EBB8">
      <w:r>
        <w:t>（3）输出“信道/干扰—性能响应”数据集，并形成可用于仿真校准的参数范围与边界条件。</w:t>
      </w:r>
    </w:p>
    <w:p w14:paraId="0B320979">
      <w:pPr>
        <w:ind w:firstLine="720" w:firstLineChars="0"/>
      </w:pPr>
      <w:r>
        <w:t>EMC公开基准数据整理与参数沉淀</w:t>
      </w:r>
    </w:p>
    <w:p w14:paraId="6BB27FA7">
      <w:r>
        <w:t>（1）整理行业标准公开限值与条款，并汇集公开的骚扰测试结果/合规报告：辐射杂散、</w:t>
      </w:r>
      <w:r>
        <w:rPr>
          <w:rFonts w:hint="eastAsia"/>
          <w:lang w:val="en-US" w:eastAsia="zh-CN"/>
        </w:rPr>
        <w:t>通信指标</w:t>
      </w:r>
      <w:r>
        <w:t>、等关键项目与结果归档。</w:t>
      </w:r>
    </w:p>
    <w:p w14:paraId="316452B5">
      <w:r>
        <w:t>（2）汇集公开的抗扰度测试结果/合规报告：电磁辐射抗扰度等项目的关键参数、测试布置信息与性能判据记录。</w:t>
      </w:r>
    </w:p>
    <w:p w14:paraId="6BA333F6">
      <w:r>
        <w:t>（3）输出：EMC仿真校准基准（含限值/判据、检波/测量设置、典型测试布置与数据）。</w:t>
      </w:r>
    </w:p>
    <w:p w14:paraId="4A5F7C6D">
      <w:r>
        <w:rPr>
          <w:b/>
        </w:rPr>
        <w:t>模型抽象与接口校正</w:t>
      </w:r>
    </w:p>
    <w:p w14:paraId="4C3FCB0A">
      <w:pPr>
        <w:ind w:firstLine="720" w:firstLineChars="0"/>
      </w:pPr>
      <w:r>
        <w:rPr>
          <w:b/>
        </w:rPr>
        <w:t>接口函数抽象与节点库封装</w:t>
      </w:r>
    </w:p>
    <w:p w14:paraId="0A903676">
      <w:r>
        <w:t>（1）基于数据集采用曲线拟合或轻量ML，建立链路接口函数：丢包率/时延/误码/吞吐随距离、带宽、多普勒与干扰配置动态变化的映射关系。</w:t>
      </w:r>
    </w:p>
    <w:p w14:paraId="747BDBA9">
      <w:r>
        <w:t>（2）将接口函数以查表或模块化函数形式封装到仿真节点（如MATLAB Simulink节点）中，支持运行时按场景参数实时更新链路行为。</w:t>
      </w:r>
    </w:p>
    <w:p w14:paraId="041647A4">
      <w:r>
        <w:t>（3）输出：可复用的接口函数库与节点库（含版本、适用范围与误差统计）。</w:t>
      </w:r>
    </w:p>
    <w:p w14:paraId="5A50E761">
      <w:pPr>
        <w:ind w:firstLine="720" w:firstLineChars="0"/>
      </w:pPr>
      <w:r>
        <w:rPr>
          <w:b/>
        </w:rPr>
        <w:t>标准限值/判据的仿真约束化</w:t>
      </w:r>
    </w:p>
    <w:p w14:paraId="7DD37AB6">
      <w:r>
        <w:t>（1）将骚扰测量限值、抗扰度性能判据等标准条款参数化（频段、检波器类型、限值曲线、判据阈值等），形成统一配置表。</w:t>
      </w:r>
    </w:p>
    <w:p w14:paraId="75E9A433">
      <w:r>
        <w:t>（2）建立仿真—数据集对齐流程：基准场景回归、误差度量、参数迭代校准与冻结，确保可解释、可复现。</w:t>
      </w:r>
    </w:p>
    <w:p w14:paraId="72ED63B4">
      <w:r>
        <w:t>（3）输出：约束/判据配置表 + 校准流程与验收指标。</w:t>
      </w:r>
    </w:p>
    <w:p w14:paraId="12F93DB6">
      <w:r>
        <w:rPr>
          <w:b/>
        </w:rPr>
        <w:t>EMC仿真模块集成</w:t>
      </w:r>
    </w:p>
    <w:p w14:paraId="70AD0455">
      <w:pPr>
        <w:ind w:firstLine="720" w:firstLineChars="0"/>
      </w:pPr>
      <w:r>
        <w:rPr>
          <w:b/>
        </w:rPr>
        <w:t>骚扰测量仿真模块</w:t>
      </w:r>
    </w:p>
    <w:p w14:paraId="70A168C2">
      <w:r>
        <w:t>（1）建立辐射杂散、辐射骚扰仿真流程，支持频段扫描与虚拟测量布置参数化。</w:t>
      </w:r>
    </w:p>
    <w:p w14:paraId="30CEE824">
      <w:r>
        <w:t>（2）嵌入检波器与测量链路模型（如RMS/峰值/平均等），并实现限值曲线自动比对与超限标注。</w:t>
      </w:r>
    </w:p>
    <w:p w14:paraId="342C2E93">
      <w:r>
        <w:t>（3）输出：骚扰测量仿真模块 + 结果判定与报告生成。</w:t>
      </w:r>
    </w:p>
    <w:p w14:paraId="63987925">
      <w:pPr>
        <w:ind w:firstLine="720" w:firstLineChars="0"/>
      </w:pPr>
      <w:r>
        <w:rPr>
          <w:b/>
        </w:rPr>
        <w:t>抗扰度试验仿真模块</w:t>
      </w:r>
    </w:p>
    <w:p w14:paraId="2594A51B">
      <w:r>
        <w:t>（1）建立电磁辐射抗扰度等干扰施加模型。</w:t>
      </w:r>
    </w:p>
    <w:p w14:paraId="3382F928">
      <w:r>
        <w:t>（2）联动通信链路接口函数，输出吞吐、时延、丢包等性能判据结果（通过/不通过）及敏感参数定位。</w:t>
      </w:r>
    </w:p>
    <w:p w14:paraId="12641079">
      <w:r>
        <w:t>（3）输出：抗扰度仿真模块 + 性能判据判定逻辑。</w:t>
      </w:r>
    </w:p>
    <w:p w14:paraId="6C841317">
      <w:r>
        <w:rPr>
          <w:b/>
        </w:rPr>
        <w:t>智能用例生成与闭环验证</w:t>
      </w:r>
    </w:p>
    <w:p w14:paraId="613CFE5D">
      <w:pPr>
        <w:ind w:firstLine="720" w:firstLineChars="0"/>
      </w:pPr>
      <w:r>
        <w:rPr>
          <w:b/>
        </w:rPr>
        <w:t>干扰特征库与编码规则</w:t>
      </w:r>
    </w:p>
    <w:p w14:paraId="0E0519F7">
      <w:r>
        <w:t>（1）建立干扰特征库：中心频率/带宽/功率/调制/时序/场景标签（Ku/Ka、公网、铁路、城市等）与EMC测试要素（项目、等级、判据）。</w:t>
      </w:r>
    </w:p>
    <w:p w14:paraId="0927D37C">
      <w:r>
        <w:t>（2）定义用例编码与约束：保证物理可行性与标准可对标，支持一键生成可执行仿真配置。</w:t>
      </w:r>
    </w:p>
    <w:p w14:paraId="31CEAC47">
      <w:pPr>
        <w:ind w:firstLine="720" w:firstLineChars="0"/>
      </w:pPr>
      <w:r>
        <w:rPr>
          <w:b/>
        </w:rPr>
        <w:t>GA/GAN用例生成与回灌评估</w:t>
      </w:r>
    </w:p>
    <w:p w14:paraId="5794E8FE">
      <w:r>
        <w:t>（1）遗传算法（GA）：以多跳时延/丢包、切换成功率、吞吐下降等为适应度函数，搜索“影响最大”的干扰组合。</w:t>
      </w:r>
    </w:p>
    <w:p w14:paraId="56C1ED9E">
      <w:r>
        <w:t>（2）生成对抗网络（GAN）：学习干扰时序/谱形分布，生成更极端但符合约束的干扰形态，与GA联合扩展搜索空间。</w:t>
      </w:r>
    </w:p>
    <w:p w14:paraId="4D7EDB80">
      <w:r>
        <w:t>（3）回灌闭环：将生成用例自动注入仿真平台，对比基准/常规用例，输出薄弱点、敏感参数与优化方向。</w:t>
      </w:r>
    </w:p>
    <w:p w14:paraId="231C954E">
      <w:pPr>
        <w:ind w:firstLine="720" w:firstLineChars="0"/>
      </w:pPr>
      <w:r>
        <w:rPr>
          <w:b/>
        </w:rPr>
        <w:t>抗干扰/EMC正向设计建议输出</w:t>
      </w:r>
    </w:p>
    <w:p w14:paraId="3540E78F">
      <w:r>
        <w:t>（1）基于用例评估结果，</w:t>
      </w:r>
      <w:r>
        <w:rPr>
          <w:rFonts w:hint="eastAsia"/>
          <w:lang w:val="en-US" w:eastAsia="zh-CN"/>
        </w:rPr>
        <w:t>该结果可以指导</w:t>
      </w:r>
      <w:r>
        <w:t>可实施的系统级防护策略建议（如波束赋形、时域隔离、资源调度、滤波与屏蔽等）及验证方法。</w:t>
      </w:r>
    </w:p>
    <w:p w14:paraId="14E9C802">
      <w:r>
        <w:t>（2）固化交付：压力测试用例库、自动化评估脚本/报告模板、兼容性评分与改进清单。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67724C"/>
    <w:rsid w:val="113402A5"/>
    <w:rsid w:val="28CF1C92"/>
    <w:rsid w:val="2BBA4BEA"/>
    <w:rsid w:val="2BDF043E"/>
    <w:rsid w:val="36462F9D"/>
    <w:rsid w:val="4710374A"/>
    <w:rsid w:val="4ECB2BF9"/>
    <w:rsid w:val="50EF2622"/>
    <w:rsid w:val="644A7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qFormat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1624</Words>
  <Characters>1674</Characters>
  <Lines>0</Lines>
  <Paragraphs>0</Paragraphs>
  <TotalTime>0</TotalTime>
  <ScaleCrop>false</ScaleCrop>
  <LinksUpToDate>false</LinksUpToDate>
  <CharactersWithSpaces>1681</CharactersWithSpaces>
  <Application>WPS Office_12.1.0.24655_F1E327BC-269C-435d-A152-05C5408002CA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morty</cp:lastModifiedBy>
  <dcterms:modified xsi:type="dcterms:W3CDTF">2026-01-26T09:55:47Z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eyJoZGlkIjoiOTA2YTRlY2JlZWM2OTNlNjc4YzQ3Njc0MzAwMDYwMTMiLCJ1c2VySWQiOiI2NTYzNjI1NzQifQ==</vt:lpwstr>
  </property>
  <property fmtid="{D5CDD505-2E9C-101B-9397-08002B2CF9AE}" pid="3" name="KSOProductBuildVer">
    <vt:lpwstr>2052-12.1.0.24655</vt:lpwstr>
  </property>
  <property fmtid="{D5CDD505-2E9C-101B-9397-08002B2CF9AE}" pid="4" name="ICV">
    <vt:lpwstr>F946F1C8FDD44994998AB2B53685C206_13</vt:lpwstr>
  </property>
</Properties>
</file>