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94053">
      <w:pPr>
        <w:spacing w:line="360" w:lineRule="auto"/>
      </w:pPr>
    </w:p>
    <w:p w14:paraId="4AA58EC9">
      <w:pPr>
        <w:jc w:val="center"/>
        <w:rPr>
          <w:spacing w:val="50"/>
          <w:sz w:val="44"/>
        </w:rPr>
      </w:pPr>
      <w:r>
        <w:rPr>
          <w:rFonts w:hint="eastAsia"/>
          <w:spacing w:val="50"/>
          <w:sz w:val="44"/>
        </w:rPr>
        <w:t>北京交通大学</w:t>
      </w:r>
    </w:p>
    <w:p w14:paraId="4C639EAB">
      <w:pPr>
        <w:jc w:val="center"/>
        <w:rPr>
          <w:sz w:val="36"/>
        </w:rPr>
      </w:pPr>
    </w:p>
    <w:p w14:paraId="24CAE44F">
      <w:pPr>
        <w:jc w:val="center"/>
        <w:rPr>
          <w:b/>
          <w:sz w:val="36"/>
        </w:rPr>
      </w:pPr>
      <w:bookmarkStart w:id="0" w:name="_Toc1844"/>
      <w:r>
        <w:rPr>
          <w:rFonts w:hint="eastAsia"/>
          <w:b/>
          <w:sz w:val="36"/>
        </w:rPr>
        <w:t>硕士学位研究生选题报告及论文工作计划</w:t>
      </w:r>
      <w:bookmarkEnd w:id="0"/>
    </w:p>
    <w:p w14:paraId="16A56A8A"/>
    <w:p w14:paraId="62F500AE"/>
    <w:p w14:paraId="6C27F72A"/>
    <w:p w14:paraId="5441EBEF">
      <w:pPr>
        <w:spacing w:line="420" w:lineRule="exact"/>
      </w:pPr>
      <w:r>
        <w:rPr>
          <w:rFonts w:hint="eastAsia"/>
          <w:b/>
        </w:rPr>
        <w:t xml:space="preserve">             </w:t>
      </w:r>
      <w:r>
        <w:rPr>
          <w:rFonts w:hint="eastAsia"/>
          <w:b/>
          <w:spacing w:val="68"/>
          <w:sz w:val="28"/>
          <w:szCs w:val="28"/>
        </w:rPr>
        <w:t>研究生</w:t>
      </w:r>
      <w:r>
        <w:rPr>
          <w:rFonts w:hint="eastAsia"/>
          <w:b/>
          <w:u w:val="single"/>
        </w:rPr>
        <w:t xml:space="preserve"> </w:t>
      </w:r>
      <w:r>
        <w:rPr>
          <w:rFonts w:hint="eastAsia"/>
          <w:u w:val="single"/>
        </w:rPr>
        <w:t xml:space="preserve">   </w:t>
      </w:r>
      <w:r>
        <w:rPr>
          <w:rFonts w:hint="eastAsia"/>
          <w:sz w:val="28"/>
          <w:szCs w:val="28"/>
          <w:u w:val="single"/>
        </w:rPr>
        <w:t>周正阳</w:t>
      </w:r>
      <w:r>
        <w:rPr>
          <w:rFonts w:hint="eastAsia"/>
          <w:u w:val="single"/>
        </w:rPr>
        <w:t xml:space="preserve">    </w:t>
      </w:r>
      <w:r>
        <w:rPr>
          <w:rFonts w:hint="eastAsia"/>
        </w:rPr>
        <w:t xml:space="preserve"> </w:t>
      </w:r>
      <w:r>
        <w:rPr>
          <w:rFonts w:hint="eastAsia"/>
          <w:b/>
          <w:sz w:val="28"/>
        </w:rPr>
        <w:t>学 号</w:t>
      </w:r>
      <w:r>
        <w:rPr>
          <w:rFonts w:hint="eastAsia"/>
          <w:b/>
        </w:rPr>
        <w:t xml:space="preserve"> </w:t>
      </w:r>
      <w:r>
        <w:rPr>
          <w:rFonts w:hint="eastAsia"/>
          <w:u w:val="single"/>
        </w:rPr>
        <w:t xml:space="preserve">   </w:t>
      </w:r>
      <w:r>
        <w:rPr>
          <w:rFonts w:hint="eastAsia"/>
          <w:sz w:val="28"/>
          <w:szCs w:val="28"/>
          <w:u w:val="single"/>
        </w:rPr>
        <w:t>24125148</w:t>
      </w:r>
      <w:r>
        <w:rPr>
          <w:rFonts w:hint="eastAsia"/>
          <w:u w:val="single"/>
        </w:rPr>
        <w:t xml:space="preserve">  </w:t>
      </w:r>
      <w:r>
        <w:rPr>
          <w:rFonts w:hint="eastAsia"/>
        </w:rPr>
        <w:t xml:space="preserve"> </w:t>
      </w:r>
    </w:p>
    <w:p w14:paraId="00051C66">
      <w:pPr>
        <w:spacing w:line="420" w:lineRule="exact"/>
      </w:pPr>
    </w:p>
    <w:p w14:paraId="5F1F3019">
      <w:pPr>
        <w:spacing w:line="420" w:lineRule="exact"/>
        <w:rPr>
          <w:b/>
          <w:sz w:val="28"/>
        </w:rPr>
      </w:pPr>
      <w:r>
        <w:rPr>
          <w:rFonts w:hint="eastAsia"/>
          <w:b/>
        </w:rPr>
        <w:t xml:space="preserve">             </w:t>
      </w:r>
      <w:r>
        <w:rPr>
          <w:rFonts w:hint="eastAsia"/>
          <w:b/>
          <w:sz w:val="28"/>
        </w:rPr>
        <w:t xml:space="preserve">学    院 </w:t>
      </w:r>
      <w:r>
        <w:rPr>
          <w:rFonts w:hint="eastAsia"/>
          <w:sz w:val="28"/>
          <w:u w:val="single"/>
        </w:rPr>
        <w:t xml:space="preserve">      自动化与智能学院     </w:t>
      </w:r>
      <w:r>
        <w:rPr>
          <w:rFonts w:hint="eastAsia"/>
          <w:b/>
          <w:sz w:val="28"/>
          <w:u w:val="single"/>
        </w:rPr>
        <w:t xml:space="preserve">   </w:t>
      </w:r>
    </w:p>
    <w:p w14:paraId="4A850E04">
      <w:pPr>
        <w:spacing w:line="420" w:lineRule="exact"/>
      </w:pPr>
    </w:p>
    <w:p w14:paraId="6D779C79">
      <w:pPr>
        <w:spacing w:line="420" w:lineRule="exact"/>
        <w:rPr>
          <w:b/>
          <w:sz w:val="28"/>
          <w:u w:val="single"/>
        </w:rPr>
      </w:pPr>
      <w:r>
        <w:rPr>
          <w:rFonts w:hint="eastAsia"/>
          <w:b/>
        </w:rPr>
        <w:t xml:space="preserve">            </w:t>
      </w:r>
      <w:r>
        <w:rPr>
          <w:rFonts w:hint="eastAsia"/>
          <w:b/>
          <w:sz w:val="24"/>
        </w:rPr>
        <w:t xml:space="preserve"> </w:t>
      </w:r>
      <w:r>
        <w:rPr>
          <w:rFonts w:hint="eastAsia"/>
          <w:b/>
          <w:sz w:val="28"/>
        </w:rPr>
        <w:t>专    业</w:t>
      </w:r>
      <w:r>
        <w:rPr>
          <w:rFonts w:hint="eastAsia"/>
          <w:sz w:val="28"/>
        </w:rPr>
        <w:t xml:space="preserve"> </w:t>
      </w:r>
      <w:r>
        <w:rPr>
          <w:rFonts w:hint="eastAsia"/>
          <w:sz w:val="28"/>
          <w:u w:val="single"/>
        </w:rPr>
        <w:t xml:space="preserve">          控制工程            </w:t>
      </w:r>
    </w:p>
    <w:p w14:paraId="20BAB2D0">
      <w:pPr>
        <w:spacing w:line="420" w:lineRule="exact"/>
      </w:pPr>
      <w:r>
        <w:rPr>
          <w:rFonts w:hint="eastAsia"/>
        </w:rPr>
        <w:t xml:space="preserve"> </w:t>
      </w:r>
    </w:p>
    <w:p w14:paraId="356A9BEC">
      <w:pPr>
        <w:spacing w:line="420" w:lineRule="exact"/>
        <w:rPr>
          <w:b/>
          <w:sz w:val="28"/>
        </w:rPr>
      </w:pPr>
      <w:r>
        <w:rPr>
          <w:rFonts w:hint="eastAsia"/>
          <w:b/>
        </w:rPr>
        <w:t xml:space="preserve">             </w:t>
      </w:r>
      <w:r>
        <w:rPr>
          <w:rFonts w:hint="eastAsia"/>
          <w:b/>
          <w:sz w:val="28"/>
        </w:rPr>
        <w:t>研究方向</w:t>
      </w:r>
      <w:r>
        <w:rPr>
          <w:rFonts w:hint="eastAsia"/>
          <w:sz w:val="28"/>
        </w:rPr>
        <w:t xml:space="preserve"> </w:t>
      </w:r>
      <w:r>
        <w:rPr>
          <w:rFonts w:hint="eastAsia"/>
          <w:sz w:val="28"/>
          <w:u w:val="single"/>
        </w:rPr>
        <w:t xml:space="preserve">          电磁兼容            </w:t>
      </w:r>
      <w:r>
        <w:rPr>
          <w:rFonts w:hint="eastAsia"/>
          <w:b/>
          <w:sz w:val="28"/>
        </w:rPr>
        <w:t xml:space="preserve"> </w:t>
      </w:r>
    </w:p>
    <w:p w14:paraId="55EC75B7">
      <w:pPr>
        <w:spacing w:line="420" w:lineRule="exact"/>
      </w:pPr>
    </w:p>
    <w:p w14:paraId="6B6CC42C">
      <w:pPr>
        <w:spacing w:line="420" w:lineRule="exact"/>
        <w:rPr>
          <w:b/>
          <w:sz w:val="28"/>
          <w:u w:val="single"/>
        </w:rPr>
      </w:pPr>
      <w:r>
        <w:rPr>
          <w:rFonts w:hint="eastAsia"/>
          <w:b/>
        </w:rPr>
        <w:t xml:space="preserve">             </w:t>
      </w:r>
      <w:r>
        <w:rPr>
          <w:rFonts w:hint="eastAsia"/>
          <w:b/>
          <w:sz w:val="28"/>
        </w:rPr>
        <w:t xml:space="preserve">入学日期 </w:t>
      </w:r>
      <w:r>
        <w:rPr>
          <w:rFonts w:hint="eastAsia"/>
          <w:sz w:val="28"/>
          <w:u w:val="single"/>
        </w:rPr>
        <w:t xml:space="preserve">         2024年9月           </w:t>
      </w:r>
    </w:p>
    <w:p w14:paraId="46AEABE4"/>
    <w:p w14:paraId="360536DA"/>
    <w:p w14:paraId="011607B1"/>
    <w:p w14:paraId="4531B125">
      <w:pPr>
        <w:jc w:val="center"/>
      </w:pPr>
    </w:p>
    <w:p w14:paraId="1E65B9DA">
      <w:pPr>
        <w:jc w:val="center"/>
      </w:pPr>
    </w:p>
    <w:p w14:paraId="3F97A43B">
      <w:pPr>
        <w:jc w:val="center"/>
      </w:pPr>
    </w:p>
    <w:p w14:paraId="37844293">
      <w:pPr>
        <w:jc w:val="center"/>
      </w:pPr>
    </w:p>
    <w:p w14:paraId="67FAE4C1">
      <w:pPr>
        <w:jc w:val="center"/>
      </w:pPr>
    </w:p>
    <w:p w14:paraId="1F26BAC6">
      <w:pPr>
        <w:jc w:val="center"/>
      </w:pPr>
    </w:p>
    <w:p w14:paraId="2BD7FEAB">
      <w:pPr>
        <w:jc w:val="center"/>
      </w:pPr>
    </w:p>
    <w:p w14:paraId="1851BD91">
      <w:pPr>
        <w:jc w:val="center"/>
      </w:pPr>
    </w:p>
    <w:p w14:paraId="12E2162E">
      <w:pPr>
        <w:jc w:val="center"/>
      </w:pPr>
    </w:p>
    <w:p w14:paraId="0679A686">
      <w:pPr>
        <w:jc w:val="center"/>
      </w:pPr>
    </w:p>
    <w:p w14:paraId="03F624EC">
      <w:pPr>
        <w:jc w:val="center"/>
      </w:pPr>
    </w:p>
    <w:p w14:paraId="14F314BB">
      <w:pPr>
        <w:jc w:val="center"/>
      </w:pPr>
    </w:p>
    <w:p w14:paraId="4C6EF6BE">
      <w:pPr>
        <w:jc w:val="center"/>
      </w:pPr>
    </w:p>
    <w:p w14:paraId="57FCA253">
      <w:pPr>
        <w:jc w:val="center"/>
      </w:pPr>
    </w:p>
    <w:p w14:paraId="11EC390D">
      <w:pPr>
        <w:ind w:firstLine="2400" w:firstLineChars="1000"/>
        <w:rPr>
          <w:rFonts w:ascii="Times New Roman" w:hAnsi="Times New Roman" w:eastAsia="宋体" w:cs="Times New Roman"/>
          <w:sz w:val="24"/>
          <w:szCs w:val="20"/>
        </w:rPr>
      </w:pPr>
      <w:r>
        <w:rPr>
          <w:rFonts w:hint="eastAsia" w:ascii="Times New Roman" w:hAnsi="Times New Roman" w:eastAsia="宋体" w:cs="Times New Roman"/>
          <w:sz w:val="24"/>
          <w:szCs w:val="20"/>
        </w:rPr>
        <w:t>填表日期    2025年 10 月 8 日</w:t>
      </w:r>
    </w:p>
    <w:p w14:paraId="2E55549B">
      <w:pPr>
        <w:spacing w:line="360" w:lineRule="auto"/>
        <w:ind w:firstLine="2400" w:firstLineChars="1000"/>
        <w:rPr>
          <w:rFonts w:ascii="Times New Roman" w:hAnsi="Times New Roman" w:eastAsia="宋体" w:cs="Times New Roman"/>
          <w:sz w:val="24"/>
          <w:szCs w:val="20"/>
        </w:rPr>
      </w:pPr>
    </w:p>
    <w:p w14:paraId="1A9B9095">
      <w:pPr>
        <w:spacing w:line="360" w:lineRule="auto"/>
        <w:ind w:firstLine="2400" w:firstLineChars="1000"/>
        <w:rPr>
          <w:rFonts w:ascii="Times New Roman" w:hAnsi="Times New Roman" w:eastAsia="宋体" w:cs="Times New Roman"/>
          <w:sz w:val="24"/>
          <w:szCs w:val="20"/>
        </w:rPr>
        <w:sectPr>
          <w:footerReference r:id="rId3" w:type="first"/>
          <w:pgSz w:w="11906" w:h="16838"/>
          <w:pgMar w:top="1440" w:right="1800" w:bottom="1440" w:left="1800" w:header="851" w:footer="992" w:gutter="0"/>
          <w:cols w:space="425" w:num="1"/>
          <w:docGrid w:type="lines" w:linePitch="312" w:charSpace="0"/>
        </w:sectPr>
      </w:pPr>
    </w:p>
    <w:p w14:paraId="5D066889"/>
    <w:p w14:paraId="59E549C0"/>
    <w:tbl>
      <w:tblPr>
        <w:tblStyle w:val="8"/>
        <w:tblW w:w="90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56"/>
        <w:gridCol w:w="2478"/>
        <w:gridCol w:w="1337"/>
        <w:gridCol w:w="3575"/>
      </w:tblGrid>
      <w:tr w14:paraId="429F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82" w:type="dxa"/>
            <w:gridSpan w:val="2"/>
            <w:vAlign w:val="center"/>
          </w:tcPr>
          <w:p w14:paraId="4C4B3FDD">
            <w:pPr>
              <w:jc w:val="center"/>
              <w:rPr>
                <w:sz w:val="24"/>
              </w:rPr>
            </w:pPr>
            <w:r>
              <w:rPr>
                <w:rFonts w:hint="eastAsia"/>
                <w:sz w:val="24"/>
              </w:rPr>
              <w:t>选 题 名 称</w:t>
            </w:r>
          </w:p>
        </w:tc>
        <w:tc>
          <w:tcPr>
            <w:tcW w:w="7390" w:type="dxa"/>
            <w:gridSpan w:val="3"/>
            <w:vAlign w:val="center"/>
          </w:tcPr>
          <w:p w14:paraId="7DDDD773">
            <w:pPr>
              <w:jc w:val="center"/>
              <w:rPr>
                <w:sz w:val="24"/>
              </w:rPr>
            </w:pPr>
            <w:r>
              <w:rPr>
                <w:rFonts w:hint="eastAsia"/>
                <w:sz w:val="24"/>
              </w:rPr>
              <w:t>无人机通信抗干扰性能的测试评估技术研究</w:t>
            </w:r>
          </w:p>
        </w:tc>
      </w:tr>
      <w:tr w14:paraId="0824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5" w:hRule="atLeast"/>
        </w:trPr>
        <w:tc>
          <w:tcPr>
            <w:tcW w:w="9072" w:type="dxa"/>
            <w:gridSpan w:val="5"/>
          </w:tcPr>
          <w:p w14:paraId="7531F46E">
            <w:pPr>
              <w:rPr>
                <w:rFonts w:hint="eastAsia" w:ascii="宋体" w:hAnsi="宋体" w:eastAsia="宋体" w:cs="宋体"/>
                <w:sz w:val="24"/>
              </w:rPr>
            </w:pPr>
            <w:r>
              <w:rPr>
                <w:rFonts w:hint="eastAsia" w:ascii="宋体" w:hAnsi="宋体" w:eastAsia="宋体" w:cs="宋体"/>
                <w:sz w:val="24"/>
              </w:rPr>
              <w:t>选题和导师的科研项目有何关系？属于哪一级科研项目，所属类别（国家重点、部委、省（市）、校重点、自选）及经费来源：</w:t>
            </w:r>
          </w:p>
          <w:p w14:paraId="187B092A">
            <w:pPr>
              <w:rPr>
                <w:rFonts w:hint="eastAsia" w:ascii="宋体" w:hAnsi="宋体" w:eastAsia="宋体" w:cs="宋体"/>
                <w:sz w:val="24"/>
              </w:rPr>
            </w:pPr>
          </w:p>
          <w:p w14:paraId="431B44A2">
            <w:pPr>
              <w:rPr>
                <w:rFonts w:hint="eastAsia" w:ascii="宋体" w:hAnsi="宋体" w:eastAsia="宋体" w:cs="宋体"/>
                <w:sz w:val="24"/>
              </w:rPr>
            </w:pPr>
            <w:r>
              <w:rPr>
                <w:rFonts w:hint="eastAsia" w:ascii="宋体" w:hAnsi="宋体" w:eastAsia="宋体" w:cs="宋体"/>
                <w:sz w:val="24"/>
              </w:rPr>
              <w:t>选题来源于导师承担的：无人装备集群通信组网软硬件及管控系统研发。属于横向课题（W25L00450）</w:t>
            </w:r>
          </w:p>
        </w:tc>
      </w:tr>
      <w:tr w14:paraId="3E28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9072" w:type="dxa"/>
            <w:gridSpan w:val="5"/>
            <w:vAlign w:val="center"/>
          </w:tcPr>
          <w:p w14:paraId="07CF7E2D">
            <w:pPr>
              <w:rPr>
                <w:sz w:val="24"/>
              </w:rPr>
            </w:pPr>
            <w:r>
              <w:rPr>
                <w:rFonts w:hint="eastAsia"/>
                <w:sz w:val="24"/>
              </w:rPr>
              <w:t>论文类型：在所属类型前划“</w:t>
            </w:r>
            <w:r>
              <w:rPr>
                <w:rFonts w:hint="eastAsia"/>
                <w:sz w:val="24"/>
              </w:rPr>
              <w:sym w:font="Symbol" w:char="F0D6"/>
            </w:r>
            <w:r>
              <w:rPr>
                <w:rFonts w:hint="eastAsia"/>
                <w:sz w:val="24"/>
              </w:rPr>
              <w:t>”（只可填写一项）</w:t>
            </w:r>
          </w:p>
        </w:tc>
      </w:tr>
      <w:tr w14:paraId="180D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26" w:type="dxa"/>
            <w:vAlign w:val="center"/>
          </w:tcPr>
          <w:p w14:paraId="26E1579D">
            <w:pPr>
              <w:jc w:val="center"/>
              <w:rPr>
                <w:sz w:val="24"/>
              </w:rPr>
            </w:pPr>
          </w:p>
        </w:tc>
        <w:tc>
          <w:tcPr>
            <w:tcW w:w="2634" w:type="dxa"/>
            <w:gridSpan w:val="2"/>
            <w:vAlign w:val="center"/>
          </w:tcPr>
          <w:p w14:paraId="2DEADCEE">
            <w:pPr>
              <w:rPr>
                <w:sz w:val="24"/>
              </w:rPr>
            </w:pPr>
            <w:r>
              <w:rPr>
                <w:rFonts w:hint="eastAsia"/>
                <w:sz w:val="24"/>
              </w:rPr>
              <w:t>（1）基础研究</w:t>
            </w:r>
          </w:p>
        </w:tc>
        <w:tc>
          <w:tcPr>
            <w:tcW w:w="1337" w:type="dxa"/>
            <w:vAlign w:val="center"/>
          </w:tcPr>
          <w:p w14:paraId="262A6776">
            <w:pPr>
              <w:jc w:val="center"/>
              <w:rPr>
                <w:sz w:val="24"/>
              </w:rPr>
            </w:pPr>
            <w:r>
              <w:rPr>
                <w:rFonts w:hint="eastAsia"/>
                <w:sz w:val="24"/>
              </w:rPr>
              <w:t>√</w:t>
            </w:r>
          </w:p>
        </w:tc>
        <w:tc>
          <w:tcPr>
            <w:tcW w:w="3575" w:type="dxa"/>
            <w:vAlign w:val="center"/>
          </w:tcPr>
          <w:p w14:paraId="43CFDAE8">
            <w:pPr>
              <w:rPr>
                <w:sz w:val="24"/>
              </w:rPr>
            </w:pPr>
            <w:r>
              <w:rPr>
                <w:rFonts w:hint="eastAsia"/>
                <w:sz w:val="24"/>
              </w:rPr>
              <w:t>（2）应用研究</w:t>
            </w:r>
          </w:p>
        </w:tc>
      </w:tr>
      <w:tr w14:paraId="7659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26" w:type="dxa"/>
            <w:vAlign w:val="center"/>
          </w:tcPr>
          <w:p w14:paraId="63079D2D">
            <w:pPr>
              <w:jc w:val="center"/>
              <w:rPr>
                <w:sz w:val="24"/>
              </w:rPr>
            </w:pPr>
          </w:p>
        </w:tc>
        <w:tc>
          <w:tcPr>
            <w:tcW w:w="2634" w:type="dxa"/>
            <w:gridSpan w:val="2"/>
            <w:vAlign w:val="center"/>
          </w:tcPr>
          <w:p w14:paraId="3625B305">
            <w:pPr>
              <w:rPr>
                <w:sz w:val="24"/>
              </w:rPr>
            </w:pPr>
            <w:r>
              <w:rPr>
                <w:rFonts w:hint="eastAsia"/>
                <w:sz w:val="24"/>
              </w:rPr>
              <w:t>（3）开发研究</w:t>
            </w:r>
          </w:p>
        </w:tc>
        <w:tc>
          <w:tcPr>
            <w:tcW w:w="1337" w:type="dxa"/>
            <w:vAlign w:val="center"/>
          </w:tcPr>
          <w:p w14:paraId="5F51A154">
            <w:pPr>
              <w:jc w:val="center"/>
              <w:rPr>
                <w:sz w:val="24"/>
              </w:rPr>
            </w:pPr>
          </w:p>
        </w:tc>
        <w:tc>
          <w:tcPr>
            <w:tcW w:w="3575" w:type="dxa"/>
            <w:vAlign w:val="center"/>
          </w:tcPr>
          <w:p w14:paraId="59A6FD8A">
            <w:pPr>
              <w:rPr>
                <w:sz w:val="24"/>
              </w:rPr>
            </w:pPr>
            <w:r>
              <w:rPr>
                <w:rFonts w:hint="eastAsia"/>
                <w:sz w:val="24"/>
              </w:rPr>
              <w:t>（4）其它</w:t>
            </w:r>
          </w:p>
        </w:tc>
      </w:tr>
    </w:tbl>
    <w:p w14:paraId="606F70B4">
      <w:pPr>
        <w:jc w:val="left"/>
      </w:pPr>
    </w:p>
    <w:p w14:paraId="2E43A240">
      <w:pPr>
        <w:pStyle w:val="14"/>
        <w:jc w:val="center"/>
        <w:rPr>
          <w:rFonts w:ascii="黑体" w:eastAsia="黑体"/>
          <w:color w:val="auto"/>
          <w:szCs w:val="36"/>
        </w:rPr>
      </w:pPr>
    </w:p>
    <w:p w14:paraId="73B44A90">
      <w:pPr>
        <w:rPr>
          <w:rFonts w:ascii="黑体" w:eastAsia="黑体"/>
          <w:szCs w:val="36"/>
        </w:rPr>
      </w:pPr>
    </w:p>
    <w:p w14:paraId="669D63EE">
      <w:pPr>
        <w:rPr>
          <w:rFonts w:ascii="黑体" w:eastAsia="黑体"/>
          <w:szCs w:val="36"/>
        </w:rPr>
      </w:pPr>
    </w:p>
    <w:p w14:paraId="3F0F97C6">
      <w:pPr>
        <w:rPr>
          <w:rFonts w:ascii="黑体" w:eastAsia="黑体"/>
          <w:szCs w:val="36"/>
        </w:rPr>
      </w:pPr>
    </w:p>
    <w:p w14:paraId="543E5980">
      <w:pPr>
        <w:rPr>
          <w:rFonts w:ascii="黑体" w:eastAsia="黑体"/>
          <w:szCs w:val="36"/>
        </w:rPr>
      </w:pPr>
    </w:p>
    <w:p w14:paraId="76FC63C8">
      <w:pPr>
        <w:rPr>
          <w:rFonts w:ascii="黑体" w:eastAsia="黑体"/>
          <w:szCs w:val="36"/>
        </w:rPr>
      </w:pPr>
    </w:p>
    <w:p w14:paraId="4B8CD928">
      <w:pPr>
        <w:rPr>
          <w:rFonts w:ascii="黑体" w:eastAsia="黑体"/>
          <w:szCs w:val="36"/>
        </w:rPr>
      </w:pPr>
    </w:p>
    <w:p w14:paraId="7573A3C7">
      <w:pPr>
        <w:rPr>
          <w:rFonts w:ascii="黑体" w:eastAsia="黑体"/>
          <w:szCs w:val="36"/>
        </w:rPr>
      </w:pPr>
    </w:p>
    <w:p w14:paraId="705EF7BC">
      <w:pPr>
        <w:rPr>
          <w:rFonts w:ascii="黑体" w:eastAsia="黑体"/>
          <w:szCs w:val="36"/>
        </w:rPr>
      </w:pPr>
    </w:p>
    <w:p w14:paraId="0652DD9D">
      <w:pPr>
        <w:rPr>
          <w:rFonts w:ascii="黑体" w:eastAsia="黑体"/>
          <w:szCs w:val="36"/>
        </w:rPr>
      </w:pPr>
    </w:p>
    <w:p w14:paraId="340C7C52">
      <w:pPr>
        <w:rPr>
          <w:rFonts w:ascii="黑体" w:eastAsia="黑体"/>
          <w:szCs w:val="36"/>
        </w:rPr>
      </w:pPr>
    </w:p>
    <w:p w14:paraId="5E0A16AD">
      <w:pPr>
        <w:rPr>
          <w:rFonts w:ascii="黑体" w:eastAsia="黑体"/>
          <w:szCs w:val="36"/>
        </w:rPr>
      </w:pPr>
    </w:p>
    <w:p w14:paraId="4414D03A">
      <w:pPr>
        <w:rPr>
          <w:rFonts w:ascii="黑体" w:eastAsia="黑体"/>
          <w:szCs w:val="36"/>
        </w:rPr>
      </w:pPr>
    </w:p>
    <w:p w14:paraId="6D8511B1">
      <w:pPr>
        <w:rPr>
          <w:rFonts w:ascii="黑体" w:eastAsia="黑体"/>
          <w:szCs w:val="36"/>
        </w:rPr>
      </w:pPr>
    </w:p>
    <w:p w14:paraId="25049E3A">
      <w:pPr>
        <w:rPr>
          <w:rFonts w:ascii="黑体" w:eastAsia="黑体"/>
          <w:szCs w:val="36"/>
        </w:rPr>
      </w:pPr>
    </w:p>
    <w:p w14:paraId="3D36D257">
      <w:pPr>
        <w:rPr>
          <w:rFonts w:ascii="黑体" w:eastAsia="黑体"/>
          <w:szCs w:val="36"/>
        </w:rPr>
      </w:pPr>
    </w:p>
    <w:p w14:paraId="7B302114">
      <w:pPr>
        <w:rPr>
          <w:rFonts w:ascii="黑体" w:eastAsia="黑体"/>
          <w:szCs w:val="36"/>
        </w:rPr>
      </w:pPr>
    </w:p>
    <w:p w14:paraId="0071F56E">
      <w:pPr>
        <w:rPr>
          <w:rFonts w:ascii="黑体" w:eastAsia="黑体"/>
          <w:szCs w:val="36"/>
        </w:rPr>
      </w:pPr>
    </w:p>
    <w:p w14:paraId="2EE12580">
      <w:pPr>
        <w:rPr>
          <w:rFonts w:ascii="黑体" w:eastAsia="黑体"/>
          <w:szCs w:val="36"/>
        </w:rPr>
      </w:pPr>
    </w:p>
    <w:p w14:paraId="0E685D3F">
      <w:pPr>
        <w:rPr>
          <w:rFonts w:ascii="黑体" w:eastAsia="黑体"/>
          <w:szCs w:val="36"/>
        </w:rPr>
      </w:pPr>
    </w:p>
    <w:p w14:paraId="54CDEC46">
      <w:pPr>
        <w:rPr>
          <w:rFonts w:ascii="黑体" w:eastAsia="黑体"/>
          <w:szCs w:val="36"/>
        </w:rPr>
      </w:pPr>
    </w:p>
    <w:p w14:paraId="7AEE2C54">
      <w:pPr>
        <w:rPr>
          <w:rFonts w:ascii="黑体" w:eastAsia="黑体"/>
          <w:szCs w:val="36"/>
        </w:rPr>
      </w:pPr>
    </w:p>
    <w:p w14:paraId="1E279472">
      <w:pPr>
        <w:jc w:val="center"/>
        <w:rPr>
          <w:rFonts w:hint="eastAsia" w:ascii="宋体" w:hAnsi="宋体" w:eastAsia="宋体"/>
        </w:rPr>
        <w:sectPr>
          <w:footerReference r:id="rId4" w:type="default"/>
          <w:pgSz w:w="11906" w:h="16838"/>
          <w:pgMar w:top="1440" w:right="1800" w:bottom="1440" w:left="1800" w:header="851" w:footer="992" w:gutter="0"/>
          <w:pgNumType w:start="1"/>
          <w:cols w:space="425" w:num="1"/>
          <w:docGrid w:type="lines" w:linePitch="312" w:charSpace="0"/>
        </w:sectPr>
      </w:pPr>
    </w:p>
    <w:p w14:paraId="6F768BB0">
      <w:pPr>
        <w:pStyle w:val="14"/>
        <w:spacing w:line="360" w:lineRule="auto"/>
        <w:jc w:val="center"/>
        <w:rPr>
          <w:rFonts w:ascii="黑体" w:eastAsia="黑体"/>
          <w:color w:val="auto"/>
          <w:sz w:val="36"/>
          <w:szCs w:val="36"/>
        </w:rPr>
      </w:pPr>
      <w:r>
        <w:rPr>
          <w:rFonts w:hint="eastAsia" w:ascii="Times New Roman" w:hAnsi="Times New Roman" w:eastAsia="黑体"/>
          <w:color w:val="auto"/>
          <w:sz w:val="36"/>
          <w:szCs w:val="36"/>
        </w:rPr>
        <w:t>报告正文</w:t>
      </w:r>
    </w:p>
    <w:p w14:paraId="31D9DA92">
      <w:pPr>
        <w:pStyle w:val="6"/>
        <w:numPr>
          <w:ilvl w:val="0"/>
          <w:numId w:val="1"/>
        </w:numPr>
        <w:spacing w:line="360" w:lineRule="auto"/>
        <w:ind w:left="363" w:hanging="363"/>
        <w:outlineLvl w:val="0"/>
        <w:rPr>
          <w:rFonts w:ascii="Times New Roman" w:hAnsi="Times New Roman"/>
          <w:bCs w:val="0"/>
          <w:i w:val="0"/>
        </w:rPr>
      </w:pPr>
      <w:bookmarkStart w:id="1" w:name="_Toc27040"/>
      <w:bookmarkStart w:id="2" w:name="_Toc20329"/>
      <w:r>
        <w:rPr>
          <w:rFonts w:hint="eastAsia" w:ascii="Times New Roman" w:hAnsi="Times New Roman"/>
          <w:bCs w:val="0"/>
          <w:i w:val="0"/>
        </w:rPr>
        <w:t>论文选题依据</w:t>
      </w:r>
      <w:bookmarkEnd w:id="1"/>
      <w:bookmarkEnd w:id="2"/>
    </w:p>
    <w:p w14:paraId="0DA2E1CB">
      <w:pPr>
        <w:numPr>
          <w:ilvl w:val="1"/>
          <w:numId w:val="1"/>
        </w:numPr>
        <w:spacing w:line="360" w:lineRule="auto"/>
        <w:ind w:left="1049" w:hanging="629"/>
        <w:outlineLvl w:val="1"/>
        <w:rPr>
          <w:rFonts w:ascii="Times New Roman" w:hAnsi="Times New Roman"/>
          <w:b/>
          <w:bCs/>
          <w:sz w:val="24"/>
        </w:rPr>
      </w:pPr>
      <w:bookmarkStart w:id="3" w:name="_Toc16810"/>
      <w:bookmarkStart w:id="4" w:name="_Toc26553"/>
      <w:r>
        <w:rPr>
          <w:rFonts w:hint="eastAsia" w:ascii="Times New Roman" w:hAnsi="Times New Roman"/>
          <w:b/>
          <w:bCs/>
          <w:sz w:val="24"/>
        </w:rPr>
        <w:t>论文选题的意义</w:t>
      </w:r>
      <w:bookmarkEnd w:id="3"/>
      <w:bookmarkEnd w:id="4"/>
    </w:p>
    <w:p w14:paraId="3CBCD88D">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近年来，随着无人机技术的快速发展，无人机的应用场景已经扩展到了应急救援、轨道巡检、电网监测、低空物流运输等领域。在无人机飞行、组网，以完成不同的任务时，无人机通信链路作为无人机与地面站、多无人机组网之间的“神经系统”，其通信和抗干扰性能直接决定着不同任务场景下的可靠性、安全性。复杂的任务场景和技术要求，对于无人机通信链路的稳定性提出了挑战，而无人机通信的电磁干扰防护及测试技术，是保证无人机在不同场景飞行时通信链路实现稳定、可靠的关键性技术。</w:t>
      </w:r>
    </w:p>
    <w:p w14:paraId="33CC6EB8">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无人机通信抗干扰性能的测试评估技术主要涉及单无人机通信基础性能测试和多无人机组网通信测试两大方面的问题。单机通信基础性能测试是通信链路的基础，包括无人机通信信号质量、通信射频输出功率、通信天线方向</w:t>
      </w:r>
      <w:bookmarkStart w:id="38" w:name="_GoBack"/>
      <w:bookmarkEnd w:id="38"/>
      <w:r>
        <w:rPr>
          <w:rFonts w:hint="eastAsia" w:ascii="Times New Roman" w:hAnsi="Times New Roman" w:eastAsia="宋体" w:cs="Times New Roman"/>
          <w:sz w:val="24"/>
        </w:rPr>
        <w:t>图与增益、通信接收灵敏度等基础参数的精确测量。需要关注链路在理想及恶劣条件下的表现，需测试最大通信距离、通信时延、有效数据带宽、丢包率等关键性能指标，特别是在有环境阻挡或复杂的电磁干扰条件下这些指标的劣化程度，这直接反映了系统的鲁棒性</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_Ref32348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w:t>
      </w:r>
    </w:p>
    <w:p w14:paraId="44C045FC">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多无人机组网链路通信测试是应对协同作业的核心，包括组网通信中的无缝切换性能、多跳通信的稳定性、以及多无人机并发通信时的基础性能等。组网测试相较于单机测试，需额外考虑网络拓扑动态变化、路由协议效率、资源竞争中调度等复杂因素。</w:t>
      </w:r>
    </w:p>
    <w:p w14:paraId="1F49B6C8">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测试的目标和范围主要涵盖：(1)无人机通信基础参数测试，包括：测试无人机通信信号质量、通信射频输出功率、通信天线参数、通信接收灵敏度。(2)无人机通信链路性能测试，包括：通信距离、通信时延、数据带宽、丢包率等。(3)无人机通信链路可靠性与抗干扰测试，包括在指定环境与电磁干扰条件下，无人机的通信距离、通信时延、数据带宽、丢包率等。(4)无人机组网链路通信测试，包括：无人机组网通信中的通信切换性能、多跳通信性能、多无人机通信基础性能测试等。</w:t>
      </w:r>
    </w:p>
    <w:p w14:paraId="69F5CF2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开展本研究的意义在于，通过研发无人机通信性能测试与评估方法，为无人机在特定应用场景下，如电磁环境复杂的铁路沿线、信号遮挡严重的城市等，提供可靠部署的仿真和实测数据支撑，这对于推动无人机技术的规模化、安全化应用具有重要的现实意义。</w:t>
      </w:r>
    </w:p>
    <w:p w14:paraId="1618E35D">
      <w:pPr>
        <w:spacing w:line="360" w:lineRule="auto"/>
        <w:ind w:firstLine="480" w:firstLineChars="200"/>
        <w:rPr>
          <w:rFonts w:ascii="Times New Roman" w:hAnsi="Times New Roman" w:eastAsia="宋体" w:cs="Times New Roman"/>
          <w:sz w:val="24"/>
        </w:rPr>
      </w:pPr>
      <w:bookmarkStart w:id="5" w:name="_Toc7725"/>
      <w:r>
        <w:rPr>
          <w:rFonts w:hint="eastAsia" w:ascii="Times New Roman" w:hAnsi="Times New Roman" w:eastAsia="宋体" w:cs="Times New Roman"/>
          <w:sz w:val="24"/>
        </w:rPr>
        <w:t>论文选题的背景</w:t>
      </w:r>
      <w:bookmarkEnd w:id="5"/>
      <w:r>
        <w:rPr>
          <w:rFonts w:hint="eastAsia" w:ascii="Times New Roman" w:hAnsi="Times New Roman" w:eastAsia="宋体" w:cs="Times New Roman"/>
          <w:sz w:val="24"/>
        </w:rPr>
        <w:t>：</w:t>
      </w:r>
      <w:r>
        <w:rPr>
          <w:rFonts w:ascii="Times New Roman" w:hAnsi="Times New Roman" w:eastAsia="宋体" w:cs="Times New Roman"/>
          <w:sz w:val="24"/>
        </w:rPr>
        <w:t>随着无人机应用深度与广度的不断拓展，其作业环境所面临的物理遮挡与电磁频谱态势日趋复杂。在众多典型应用场景中，无人机的通信链路常暴露于由多种干扰源构成的复合电磁环境中，对系统的可靠性与鲁棒性构成严峻挑战。</w:t>
      </w:r>
    </w:p>
    <w:p w14:paraId="53D7123E">
      <w:pPr>
        <w:spacing w:line="360"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首先，广泛存在的公网通信系统是主要的干扰来源之一。以城市区域为例，密集部署的2G/3G/4G/5G公众移动通信基站形成覆盖广泛的无线网络，这些基站信号的部分工作频段与无人机通信频段相邻甚至重叠，其较强的下行功率可能对无人机的遥控与图传链路造成同频或邻频干扰，导致控制指令传输延迟、图像数据丢包或传输卡顿。尤其在基站切换频繁的区域，此类干扰行为更具随机性与突发性。</w:t>
      </w:r>
    </w:p>
    <w:p w14:paraId="7CE3BBD9">
      <w:pPr>
        <w:spacing w:line="360" w:lineRule="auto"/>
        <w:ind w:firstLine="482"/>
        <w:jc w:val="center"/>
        <w:rPr>
          <w:sz w:val="24"/>
        </w:rPr>
      </w:pPr>
      <w:r>
        <w:drawing>
          <wp:inline distT="0" distB="0" distL="114300" distR="114300">
            <wp:extent cx="2880995" cy="1791970"/>
            <wp:effectExtent l="0" t="0" r="1460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2880995" cy="1791970"/>
                    </a:xfrm>
                    <a:prstGeom prst="rect">
                      <a:avLst/>
                    </a:prstGeom>
                    <a:noFill/>
                    <a:ln>
                      <a:noFill/>
                    </a:ln>
                  </pic:spPr>
                </pic:pic>
              </a:graphicData>
            </a:graphic>
          </wp:inline>
        </w:drawing>
      </w:r>
    </w:p>
    <w:p w14:paraId="47AA602E">
      <w:pPr>
        <w:spacing w:line="360" w:lineRule="auto"/>
        <w:ind w:firstLine="480"/>
        <w:jc w:val="center"/>
        <w:rPr>
          <w:rFonts w:ascii="Times New Roman" w:hAnsi="Times New Roman" w:eastAsia="宋体" w:cs="Times New Roman"/>
          <w:szCs w:val="21"/>
        </w:rPr>
      </w:pPr>
      <w:r>
        <w:rPr>
          <w:rFonts w:hint="eastAsia" w:ascii="Times New Roman" w:hAnsi="Times New Roman" w:eastAsia="宋体" w:cs="Times New Roman"/>
          <w:szCs w:val="21"/>
        </w:rPr>
        <w:t>图1.1 移动通信基站对无人机通信系统影响示意图</w:t>
      </w:r>
    </w:p>
    <w:p w14:paraId="6E38915C">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其次，</w:t>
      </w:r>
      <w:r>
        <w:rPr>
          <w:rFonts w:hint="eastAsia" w:ascii="Times New Roman" w:hAnsi="Times New Roman" w:eastAsia="宋体" w:cs="Times New Roman"/>
          <w:sz w:val="24"/>
        </w:rPr>
        <w:t>不同</w:t>
      </w:r>
      <w:r>
        <w:rPr>
          <w:rFonts w:ascii="Times New Roman" w:hAnsi="Times New Roman" w:eastAsia="宋体" w:cs="Times New Roman"/>
          <w:sz w:val="24"/>
        </w:rPr>
        <w:t>环境中还存在多种其他</w:t>
      </w:r>
      <w:r>
        <w:rPr>
          <w:rFonts w:hint="eastAsia" w:ascii="Times New Roman" w:hAnsi="Times New Roman" w:eastAsia="宋体" w:cs="Times New Roman"/>
          <w:sz w:val="24"/>
        </w:rPr>
        <w:t>更为极端的</w:t>
      </w:r>
      <w:r>
        <w:rPr>
          <w:rFonts w:ascii="Times New Roman" w:hAnsi="Times New Roman" w:eastAsia="宋体" w:cs="Times New Roman"/>
          <w:sz w:val="24"/>
        </w:rPr>
        <w:t>人为电磁干扰源。包括工业设施中的变频设备、医疗仪器等，均可能在特定频段产生杂散发射或宽频噪声。此外，城市中广泛运行的电动汽车充电桩、轨道交通系统等大功率电力电</w:t>
      </w:r>
      <w:r>
        <w:rPr>
          <w:rFonts w:hint="eastAsia" w:ascii="Times New Roman" w:hAnsi="Times New Roman" w:eastAsia="宋体" w:cs="Times New Roman"/>
          <w:sz w:val="24"/>
        </w:rPr>
        <w:t>子</w:t>
      </w:r>
      <w:r>
        <w:rPr>
          <w:rFonts w:ascii="Times New Roman" w:hAnsi="Times New Roman" w:eastAsia="宋体" w:cs="Times New Roman"/>
          <w:sz w:val="24"/>
        </w:rPr>
        <w:t>装置，也会在启动与工作过程中引入瞬态或周期性的电磁扰动，进一步恶化无人机的通信质量。</w:t>
      </w:r>
    </w:p>
    <w:p w14:paraId="0B2D6FA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如在</w:t>
      </w:r>
      <w:r>
        <w:rPr>
          <w:rFonts w:ascii="Times New Roman" w:hAnsi="Times New Roman" w:eastAsia="宋体" w:cs="Times New Roman"/>
          <w:sz w:val="24"/>
        </w:rPr>
        <w:t>高速铁路</w:t>
      </w:r>
      <w:r>
        <w:rPr>
          <w:rFonts w:hint="eastAsia" w:ascii="Times New Roman" w:hAnsi="Times New Roman" w:eastAsia="宋体" w:cs="Times New Roman"/>
          <w:sz w:val="24"/>
        </w:rPr>
        <w:t>这一背景下，其</w:t>
      </w:r>
      <w:r>
        <w:rPr>
          <w:rFonts w:ascii="Times New Roman" w:hAnsi="Times New Roman" w:eastAsia="宋体" w:cs="Times New Roman"/>
          <w:sz w:val="24"/>
        </w:rPr>
        <w:t>自身产生的强电磁干扰，</w:t>
      </w:r>
      <w:r>
        <w:rPr>
          <w:rFonts w:hint="eastAsia" w:ascii="Times New Roman" w:hAnsi="Times New Roman" w:eastAsia="宋体" w:cs="Times New Roman"/>
          <w:sz w:val="24"/>
        </w:rPr>
        <w:t>就极具</w:t>
      </w:r>
      <w:r>
        <w:rPr>
          <w:rFonts w:ascii="Times New Roman" w:hAnsi="Times New Roman" w:eastAsia="宋体" w:cs="Times New Roman"/>
          <w:sz w:val="24"/>
        </w:rPr>
        <w:t>特殊性与挑战性。如图1.2所示，以CRH系列动车组为例，其车顶的受电弓与25kV高压接触网之间会产生剧烈的电弧放电，这种放电过程会辐射出频谱极宽的电磁噪声，其强度高、特性复杂，足以淹没无人机的微弱通信信号。同时，列车牵引变流系统、辅助供电系统等大功率电了设备也是重要的电磁干扰源。</w:t>
      </w:r>
    </w:p>
    <w:p w14:paraId="692155F9">
      <w:pPr>
        <w:spacing w:line="360" w:lineRule="auto"/>
        <w:ind w:firstLine="482"/>
        <w:jc w:val="center"/>
        <w:rPr>
          <w:rFonts w:hint="eastAsia" w:ascii="宋体" w:hAnsi="宋体" w:eastAsia="宋体" w:cs="宋体"/>
          <w:sz w:val="24"/>
        </w:rPr>
      </w:pPr>
      <w:r>
        <w:rPr>
          <w:rFonts w:ascii="宋体" w:hAnsi="宋体" w:eastAsia="宋体" w:cs="宋体"/>
          <w:sz w:val="24"/>
        </w:rPr>
        <w:drawing>
          <wp:inline distT="0" distB="0" distL="114300" distR="114300">
            <wp:extent cx="2332990" cy="1731010"/>
            <wp:effectExtent l="0" t="0" r="13970" b="635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2332990" cy="1731010"/>
                    </a:xfrm>
                    <a:prstGeom prst="rect">
                      <a:avLst/>
                    </a:prstGeom>
                    <a:noFill/>
                    <a:ln w="9525">
                      <a:noFill/>
                    </a:ln>
                  </pic:spPr>
                </pic:pic>
              </a:graphicData>
            </a:graphic>
          </wp:inline>
        </w:drawing>
      </w:r>
    </w:p>
    <w:p w14:paraId="3EEC1869">
      <w:pPr>
        <w:spacing w:line="360" w:lineRule="auto"/>
        <w:ind w:firstLine="480"/>
        <w:jc w:val="center"/>
        <w:rPr>
          <w:rFonts w:ascii="Times New Roman" w:hAnsi="Times New Roman" w:eastAsia="宋体" w:cs="Times New Roman"/>
          <w:szCs w:val="21"/>
        </w:rPr>
      </w:pPr>
      <w:r>
        <w:rPr>
          <w:rFonts w:hint="eastAsia" w:ascii="Times New Roman" w:hAnsi="Times New Roman" w:eastAsia="宋体" w:cs="Times New Roman"/>
          <w:szCs w:val="21"/>
        </w:rPr>
        <w:t>图1.2 受电弓与高压接触网</w:t>
      </w:r>
    </w:p>
    <w:p w14:paraId="02713DA7">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再者，密集建筑结构所带来的通信遮挡与多径哀落效应办不容忽视。无人机在城市高楼中穿行时，高层建筑不仅会阻挡直射信号路径，造成通信距离急剧下降，还会引发复杂的信号反射、绕射与散射，形成严重的多径传播环境。这种多径效应将导致信号经历快速衰落与码间干扰，显著提高通信误码率，对数据链路的稳定性构成持续威胁</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_Ref32570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[4]</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w:t>
      </w:r>
    </w:p>
    <w:p w14:paraId="4D56EA6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然而，当前业界对无人机通信性能的测试多集中于单一干扰源或理想化环境下，缺乏针对上述复合电磁干扰场景的系统性测试方案与评估标准，现有测试方法难以复现真实作业环境中多种干扰源耦合作用的综合效应，导致实验室测试结果与实际外场性能存在较大偏差。</w:t>
      </w:r>
    </w:p>
    <w:p w14:paraId="1A6BA793">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因此，本研究旨在系统分析无人机在典型应用场景下面临的复合电磁干扰特性，构建更加贴近实际的干扰模型，并在此基础上开发一套涵盖从单机基础参数到多机动态组网的全方位通信测试与评估方法，并结合人工智能算法，得到一套典型的干扰用例生成方法，并可在此基础上探索干扰防护方案。通过此项研究，可为提升无人机在复杂电磁环境下的通信可靠性提供关健技术支撑，并推动行业测试标准的完善。</w:t>
      </w:r>
    </w:p>
    <w:p w14:paraId="2F086C53">
      <w:pPr>
        <w:numPr>
          <w:ilvl w:val="1"/>
          <w:numId w:val="1"/>
        </w:numPr>
        <w:spacing w:line="360" w:lineRule="auto"/>
        <w:ind w:left="1049" w:hanging="629"/>
        <w:outlineLvl w:val="1"/>
        <w:rPr>
          <w:rFonts w:ascii="Times New Roman" w:hAnsi="Times New Roman"/>
          <w:b/>
          <w:bCs/>
          <w:sz w:val="24"/>
        </w:rPr>
      </w:pPr>
      <w:bookmarkStart w:id="6" w:name="_Toc17943"/>
      <w:bookmarkStart w:id="7" w:name="_Toc26983"/>
      <w:r>
        <w:rPr>
          <w:rFonts w:hint="eastAsia" w:ascii="Times New Roman" w:hAnsi="Times New Roman"/>
          <w:b/>
          <w:bCs/>
          <w:sz w:val="24"/>
        </w:rPr>
        <w:t>国内外研究现状</w:t>
      </w:r>
      <w:bookmarkEnd w:id="6"/>
      <w:bookmarkEnd w:id="7"/>
    </w:p>
    <w:p w14:paraId="71306F49">
      <w:pPr>
        <w:numPr>
          <w:ilvl w:val="2"/>
          <w:numId w:val="1"/>
        </w:numPr>
        <w:spacing w:line="360" w:lineRule="auto"/>
        <w:ind w:left="1168"/>
        <w:outlineLvl w:val="2"/>
        <w:rPr>
          <w:rFonts w:ascii="Times New Roman" w:hAnsi="Times New Roman"/>
          <w:b/>
          <w:bCs/>
          <w:sz w:val="24"/>
        </w:rPr>
      </w:pPr>
      <w:bookmarkStart w:id="8" w:name="_Toc8403"/>
      <w:bookmarkStart w:id="9" w:name="_Toc20538"/>
      <w:r>
        <w:rPr>
          <w:rFonts w:hint="eastAsia" w:ascii="Times New Roman" w:hAnsi="Times New Roman"/>
          <w:b/>
          <w:bCs/>
          <w:sz w:val="24"/>
        </w:rPr>
        <w:t>概述</w:t>
      </w:r>
      <w:bookmarkEnd w:id="8"/>
      <w:bookmarkEnd w:id="9"/>
    </w:p>
    <w:p w14:paraId="6A2A3A2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无人机通信与测试</w:t>
      </w:r>
      <w:r>
        <w:rPr>
          <w:rFonts w:hint="eastAsia" w:ascii="Times New Roman" w:hAnsi="Times New Roman" w:eastAsia="宋体" w:cs="Times New Roman"/>
          <w:sz w:val="24"/>
        </w:rPr>
        <w:t>的研究和</w:t>
      </w:r>
      <w:r>
        <w:rPr>
          <w:rFonts w:ascii="Times New Roman" w:hAnsi="Times New Roman" w:eastAsia="宋体" w:cs="Times New Roman"/>
          <w:sz w:val="24"/>
        </w:rPr>
        <w:t>标准的发展源头</w:t>
      </w:r>
      <w:r>
        <w:rPr>
          <w:rFonts w:hint="eastAsia" w:ascii="Times New Roman" w:hAnsi="Times New Roman" w:eastAsia="宋体" w:cs="Times New Roman"/>
          <w:sz w:val="24"/>
        </w:rPr>
        <w:t>较早，</w:t>
      </w:r>
      <w:r>
        <w:rPr>
          <w:rFonts w:ascii="Times New Roman" w:hAnsi="Times New Roman" w:eastAsia="宋体" w:cs="Times New Roman"/>
          <w:sz w:val="24"/>
        </w:rPr>
        <w:t>可追溯至20世纪70-80年代的</w:t>
      </w:r>
      <w:r>
        <w:rPr>
          <w:rFonts w:hint="eastAsia" w:ascii="Times New Roman" w:hAnsi="Times New Roman" w:eastAsia="宋体" w:cs="Times New Roman"/>
          <w:sz w:val="24"/>
        </w:rPr>
        <w:t>各国</w:t>
      </w:r>
      <w:r>
        <w:rPr>
          <w:rFonts w:ascii="Times New Roman" w:hAnsi="Times New Roman" w:eastAsia="宋体" w:cs="Times New Roman"/>
          <w:sz w:val="24"/>
        </w:rPr>
        <w:t>军事需求，以军标电磁兼容性</w:t>
      </w:r>
      <w:r>
        <w:rPr>
          <w:rFonts w:hint="eastAsia" w:ascii="Times New Roman" w:hAnsi="Times New Roman" w:eastAsia="宋体" w:cs="Times New Roman"/>
          <w:sz w:val="24"/>
        </w:rPr>
        <w:t>标准</w:t>
      </w:r>
      <w:r>
        <w:rPr>
          <w:rFonts w:ascii="Times New Roman" w:hAnsi="Times New Roman" w:eastAsia="宋体" w:cs="Times New Roman"/>
          <w:sz w:val="24"/>
        </w:rPr>
        <w:t>和</w:t>
      </w:r>
      <w:r>
        <w:rPr>
          <w:rFonts w:hint="eastAsia" w:ascii="Times New Roman" w:hAnsi="Times New Roman" w:eastAsia="宋体" w:cs="Times New Roman"/>
          <w:sz w:val="24"/>
        </w:rPr>
        <w:t>美国</w:t>
      </w:r>
      <w:r>
        <w:rPr>
          <w:rFonts w:ascii="Times New Roman" w:hAnsi="Times New Roman" w:eastAsia="宋体" w:cs="Times New Roman"/>
          <w:sz w:val="24"/>
        </w:rPr>
        <w:t>机载设备环境测试为代表的基础标准，为高可靠性机载通信设备确立了早期的测试范式。</w:t>
      </w:r>
    </w:p>
    <w:p w14:paraId="7104F28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在此坚实的技术基础上，随着无人机的民用化普及，通信协议与频谱资源也呈现出开放化和多样化的趋势。</w:t>
      </w:r>
      <w:r>
        <w:rPr>
          <w:rFonts w:hint="eastAsia" w:ascii="Times New Roman" w:hAnsi="Times New Roman" w:eastAsia="宋体" w:cs="Times New Roman"/>
          <w:sz w:val="24"/>
        </w:rPr>
        <w:t>如</w:t>
      </w:r>
      <w:r>
        <w:rPr>
          <w:rFonts w:ascii="Times New Roman" w:hAnsi="Times New Roman" w:eastAsia="宋体" w:cs="Times New Roman"/>
          <w:sz w:val="24"/>
        </w:rPr>
        <w:t>轻量级的开源协议MAVLink已成为许多消费级和工业级无人机的事实标准</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REF _Ref32691 \w \h </w:instrText>
      </w:r>
      <w:r>
        <w:rPr>
          <w:rFonts w:ascii="Times New Roman" w:hAnsi="Times New Roman" w:eastAsia="宋体" w:cs="Times New Roman"/>
          <w:sz w:val="24"/>
          <w:vertAlign w:val="superscript"/>
        </w:rPr>
        <w:fldChar w:fldCharType="separate"/>
      </w:r>
      <w:r>
        <w:rPr>
          <w:rFonts w:ascii="Times New Roman" w:hAnsi="Times New Roman" w:eastAsia="宋体" w:cs="Times New Roman"/>
          <w:sz w:val="24"/>
          <w:vertAlign w:val="superscript"/>
        </w:rPr>
        <w:t>[10]</w:t>
      </w:r>
      <w:r>
        <w:rPr>
          <w:rFonts w:ascii="Times New Roman" w:hAnsi="Times New Roman" w:eastAsia="宋体" w:cs="Times New Roman"/>
          <w:sz w:val="24"/>
          <w:vertAlign w:val="superscript"/>
        </w:rPr>
        <w:fldChar w:fldCharType="end"/>
      </w:r>
      <w:r>
        <w:rPr>
          <w:rFonts w:ascii="Times New Roman" w:hAnsi="Times New Roman" w:eastAsia="宋体" w:cs="Times New Roman"/>
          <w:sz w:val="24"/>
        </w:rPr>
        <w:t>；广泛普及的IEEE 802.11(Wi-Fi)系列协议</w:t>
      </w:r>
      <w:r>
        <w:rPr>
          <w:rFonts w:hint="eastAsia" w:ascii="Times New Roman" w:hAnsi="Times New Roman" w:eastAsia="宋体" w:cs="Times New Roman"/>
          <w:sz w:val="24"/>
        </w:rPr>
        <w:t>、</w:t>
      </w:r>
      <w:r>
        <w:rPr>
          <w:rFonts w:ascii="Times New Roman" w:hAnsi="Times New Roman" w:eastAsia="宋体" w:cs="Times New Roman"/>
          <w:sz w:val="24"/>
        </w:rPr>
        <w:t>3GPP组织定义的LTE与5G蜂窝网络技术</w:t>
      </w:r>
      <w:r>
        <w:rPr>
          <w:rFonts w:hint="eastAsia" w:ascii="Times New Roman" w:hAnsi="Times New Roman" w:eastAsia="宋体" w:cs="Times New Roman"/>
          <w:sz w:val="24"/>
        </w:rPr>
        <w:t>等</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_Ref67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[9]</w:t>
      </w:r>
      <w:r>
        <w:rPr>
          <w:rFonts w:hint="eastAsia" w:ascii="Times New Roman" w:hAnsi="Times New Roman" w:eastAsia="宋体" w:cs="Times New Roman"/>
          <w:sz w:val="24"/>
          <w:vertAlign w:val="superscript"/>
        </w:rPr>
        <w:fldChar w:fldCharType="end"/>
      </w:r>
      <w:r>
        <w:rPr>
          <w:rFonts w:ascii="Times New Roman" w:hAnsi="Times New Roman" w:eastAsia="宋体" w:cs="Times New Roman"/>
          <w:sz w:val="24"/>
        </w:rPr>
        <w:t>，为无人机的超视距可靠通信与广域组网提供强大的基础设施支持。这些技术共同构成了当代无人机通信多元化的发展图景。</w:t>
      </w:r>
    </w:p>
    <w:p w14:paraId="65D83BFE">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在此国际技术背景驱动下，中国的无人机</w:t>
      </w:r>
      <w:r>
        <w:rPr>
          <w:rFonts w:hint="eastAsia" w:ascii="Times New Roman" w:hAnsi="Times New Roman" w:eastAsia="宋体" w:cs="Times New Roman"/>
          <w:sz w:val="24"/>
        </w:rPr>
        <w:t>通信系统及抗干扰测试技术的研究也</w:t>
      </w:r>
      <w:r>
        <w:rPr>
          <w:rFonts w:ascii="Times New Roman" w:hAnsi="Times New Roman" w:eastAsia="宋体" w:cs="Times New Roman"/>
          <w:sz w:val="24"/>
        </w:rPr>
        <w:t>日趋完善</w:t>
      </w:r>
      <w:r>
        <w:rPr>
          <w:rFonts w:hint="eastAsia" w:ascii="Times New Roman" w:hAnsi="Times New Roman" w:eastAsia="宋体" w:cs="Times New Roman"/>
          <w:sz w:val="24"/>
        </w:rPr>
        <w:t>，这些技术的发展最终体现在标准体系的逐步建立</w:t>
      </w:r>
      <w:r>
        <w:rPr>
          <w:rFonts w:ascii="Times New Roman" w:hAnsi="Times New Roman" w:eastAsia="宋体" w:cs="Times New Roman"/>
          <w:sz w:val="24"/>
        </w:rPr>
        <w:t>：从奠定通用试验方法基础的</w:t>
      </w:r>
      <w:r>
        <w:rPr>
          <w:rFonts w:hint="eastAsia" w:ascii="Times New Roman" w:hAnsi="Times New Roman" w:eastAsia="宋体" w:cs="Times New Roman"/>
          <w:sz w:val="24"/>
        </w:rPr>
        <w:t>国家标准：</w:t>
      </w:r>
      <w:r>
        <w:rPr>
          <w:rFonts w:ascii="Times New Roman" w:hAnsi="Times New Roman" w:eastAsia="宋体" w:cs="Times New Roman"/>
          <w:sz w:val="24"/>
        </w:rPr>
        <w:t>GB/T 38058-2019</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REF _Ref152 \w \h </w:instrText>
      </w:r>
      <w:r>
        <w:rPr>
          <w:rFonts w:ascii="Times New Roman" w:hAnsi="Times New Roman" w:eastAsia="宋体" w:cs="Times New Roman"/>
          <w:sz w:val="24"/>
          <w:vertAlign w:val="superscript"/>
        </w:rPr>
        <w:fldChar w:fldCharType="separate"/>
      </w:r>
      <w:r>
        <w:rPr>
          <w:rFonts w:ascii="Times New Roman" w:hAnsi="Times New Roman" w:eastAsia="宋体" w:cs="Times New Roman"/>
          <w:sz w:val="24"/>
          <w:vertAlign w:val="superscript"/>
        </w:rPr>
        <w:t>[5]</w:t>
      </w:r>
      <w:r>
        <w:rPr>
          <w:rFonts w:ascii="Times New Roman" w:hAnsi="Times New Roman" w:eastAsia="宋体" w:cs="Times New Roman"/>
          <w:sz w:val="24"/>
          <w:vertAlign w:val="superscript"/>
        </w:rPr>
        <w:fldChar w:fldCharType="end"/>
      </w:r>
      <w:r>
        <w:rPr>
          <w:rFonts w:ascii="Times New Roman" w:hAnsi="Times New Roman" w:eastAsia="宋体" w:cs="Times New Roman"/>
          <w:sz w:val="24"/>
        </w:rPr>
        <w:t>，到2022年</w:t>
      </w:r>
      <w:r>
        <w:rPr>
          <w:rFonts w:hint="eastAsia" w:ascii="Times New Roman" w:hAnsi="Times New Roman" w:eastAsia="宋体" w:cs="Times New Roman"/>
          <w:sz w:val="24"/>
        </w:rPr>
        <w:t>民航局</w:t>
      </w:r>
      <w:r>
        <w:rPr>
          <w:rFonts w:ascii="Times New Roman" w:hAnsi="Times New Roman" w:eastAsia="宋体" w:cs="Times New Roman"/>
          <w:sz w:val="24"/>
        </w:rPr>
        <w:t>针对飞行校验专用链路的行业指导意见</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REF _Ref220 \w \h </w:instrText>
      </w:r>
      <w:r>
        <w:rPr>
          <w:rFonts w:ascii="Times New Roman" w:hAnsi="Times New Roman" w:eastAsia="宋体" w:cs="Times New Roman"/>
          <w:sz w:val="24"/>
          <w:vertAlign w:val="superscript"/>
        </w:rPr>
        <w:fldChar w:fldCharType="separate"/>
      </w:r>
      <w:r>
        <w:rPr>
          <w:rFonts w:ascii="Times New Roman" w:hAnsi="Times New Roman" w:eastAsia="宋体" w:cs="Times New Roman"/>
          <w:sz w:val="24"/>
          <w:vertAlign w:val="superscript"/>
        </w:rPr>
        <w:t>[6]</w:t>
      </w:r>
      <w:r>
        <w:rPr>
          <w:rFonts w:ascii="Times New Roman" w:hAnsi="Times New Roman" w:eastAsia="宋体" w:cs="Times New Roman"/>
          <w:sz w:val="24"/>
          <w:vertAlign w:val="superscript"/>
        </w:rPr>
        <w:fldChar w:fldCharType="end"/>
      </w:r>
      <w:r>
        <w:rPr>
          <w:rFonts w:ascii="Times New Roman" w:hAnsi="Times New Roman" w:eastAsia="宋体" w:cs="Times New Roman"/>
          <w:sz w:val="24"/>
        </w:rPr>
        <w:t>和</w:t>
      </w:r>
      <w:r>
        <w:rPr>
          <w:rFonts w:hint="eastAsia" w:ascii="Times New Roman" w:hAnsi="Times New Roman" w:eastAsia="宋体" w:cs="Times New Roman"/>
          <w:sz w:val="24"/>
        </w:rPr>
        <w:t>中国航空学会发表的</w:t>
      </w:r>
      <w:r>
        <w:rPr>
          <w:rFonts w:ascii="Times New Roman" w:hAnsi="Times New Roman" w:eastAsia="宋体" w:cs="Times New Roman"/>
          <w:sz w:val="24"/>
        </w:rPr>
        <w:t>无人机 L/U 双频数据链路性能试验方法</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REF _Ref266 \w \h </w:instrText>
      </w:r>
      <w:r>
        <w:rPr>
          <w:rFonts w:ascii="Times New Roman" w:hAnsi="Times New Roman" w:eastAsia="宋体" w:cs="Times New Roman"/>
          <w:sz w:val="24"/>
          <w:vertAlign w:val="superscript"/>
        </w:rPr>
        <w:fldChar w:fldCharType="separate"/>
      </w:r>
      <w:r>
        <w:rPr>
          <w:rFonts w:ascii="Times New Roman" w:hAnsi="Times New Roman" w:eastAsia="宋体" w:cs="Times New Roman"/>
          <w:sz w:val="24"/>
          <w:vertAlign w:val="superscript"/>
        </w:rPr>
        <w:t>[7]</w:t>
      </w:r>
      <w:r>
        <w:rPr>
          <w:rFonts w:ascii="Times New Roman" w:hAnsi="Times New Roman" w:eastAsia="宋体" w:cs="Times New Roman"/>
          <w:sz w:val="24"/>
          <w:vertAlign w:val="superscript"/>
        </w:rPr>
        <w:fldChar w:fldCharType="end"/>
      </w:r>
      <w:r>
        <w:rPr>
          <w:rFonts w:ascii="Times New Roman" w:hAnsi="Times New Roman" w:eastAsia="宋体" w:cs="Times New Roman"/>
          <w:sz w:val="24"/>
        </w:rPr>
        <w:t>，最终于2023年通过</w:t>
      </w:r>
      <w:r>
        <w:rPr>
          <w:rFonts w:hint="eastAsia" w:ascii="Times New Roman" w:hAnsi="Times New Roman" w:eastAsia="宋体" w:cs="Times New Roman"/>
          <w:sz w:val="24"/>
        </w:rPr>
        <w:t>了国家标准：</w:t>
      </w:r>
      <w:r>
        <w:rPr>
          <w:rFonts w:ascii="Times New Roman" w:hAnsi="Times New Roman" w:eastAsia="宋体" w:cs="Times New Roman"/>
          <w:sz w:val="24"/>
        </w:rPr>
        <w:t>GB 42590</w:t>
      </w:r>
      <w:r>
        <w:rPr>
          <w:rFonts w:hint="eastAsia" w:ascii="Times New Roman" w:hAnsi="Times New Roman" w:eastAsia="宋体" w:cs="Times New Roman"/>
          <w:sz w:val="24"/>
        </w:rPr>
        <w:t>-</w:t>
      </w:r>
      <w:r>
        <w:rPr>
          <w:rFonts w:ascii="Times New Roman" w:hAnsi="Times New Roman" w:eastAsia="宋体" w:cs="Times New Roman"/>
          <w:sz w:val="24"/>
        </w:rPr>
        <w:t>2023这</w:t>
      </w:r>
      <w:r>
        <w:rPr>
          <w:rFonts w:hint="eastAsia" w:ascii="Times New Roman" w:hAnsi="Times New Roman" w:eastAsia="宋体" w:cs="Times New Roman"/>
          <w:sz w:val="24"/>
        </w:rPr>
        <w:t>一</w:t>
      </w:r>
      <w:r>
        <w:rPr>
          <w:rFonts w:ascii="Times New Roman" w:hAnsi="Times New Roman" w:eastAsia="宋体" w:cs="Times New Roman"/>
          <w:sz w:val="24"/>
        </w:rPr>
        <w:t>强制性安全要求</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REF _Ref325 \w \h </w:instrText>
      </w:r>
      <w:r>
        <w:rPr>
          <w:rFonts w:ascii="Times New Roman" w:hAnsi="Times New Roman" w:eastAsia="宋体" w:cs="Times New Roman"/>
          <w:sz w:val="24"/>
          <w:vertAlign w:val="superscript"/>
        </w:rPr>
        <w:fldChar w:fldCharType="separate"/>
      </w:r>
      <w:r>
        <w:rPr>
          <w:rFonts w:ascii="Times New Roman" w:hAnsi="Times New Roman" w:eastAsia="宋体" w:cs="Times New Roman"/>
          <w:sz w:val="24"/>
          <w:vertAlign w:val="superscript"/>
        </w:rPr>
        <w:t>[8]</w:t>
      </w:r>
      <w:r>
        <w:rPr>
          <w:rFonts w:ascii="Times New Roman" w:hAnsi="Times New Roman" w:eastAsia="宋体" w:cs="Times New Roman"/>
          <w:sz w:val="24"/>
          <w:vertAlign w:val="superscript"/>
        </w:rPr>
        <w:fldChar w:fldCharType="end"/>
      </w:r>
      <w:r>
        <w:rPr>
          <w:rFonts w:ascii="Times New Roman" w:hAnsi="Times New Roman" w:eastAsia="宋体" w:cs="Times New Roman"/>
          <w:sz w:val="24"/>
        </w:rPr>
        <w:t>，将关键通信安全指标提升至</w:t>
      </w:r>
      <w:r>
        <w:rPr>
          <w:rFonts w:hint="eastAsia" w:ascii="Times New Roman" w:hAnsi="Times New Roman" w:eastAsia="宋体" w:cs="Times New Roman"/>
          <w:sz w:val="24"/>
        </w:rPr>
        <w:t>行业国家标准</w:t>
      </w:r>
      <w:r>
        <w:rPr>
          <w:rFonts w:ascii="Times New Roman" w:hAnsi="Times New Roman" w:eastAsia="宋体" w:cs="Times New Roman"/>
          <w:sz w:val="24"/>
        </w:rPr>
        <w:t>层面，标志着中国无人机</w:t>
      </w:r>
      <w:r>
        <w:rPr>
          <w:rFonts w:hint="eastAsia" w:ascii="Times New Roman" w:hAnsi="Times New Roman" w:eastAsia="宋体" w:cs="Times New Roman"/>
          <w:sz w:val="24"/>
        </w:rPr>
        <w:t>通信系统的研究</w:t>
      </w:r>
      <w:r>
        <w:rPr>
          <w:rFonts w:ascii="Times New Roman" w:hAnsi="Times New Roman" w:eastAsia="宋体" w:cs="Times New Roman"/>
          <w:sz w:val="24"/>
        </w:rPr>
        <w:t>标准体系完成了从</w:t>
      </w:r>
      <w:r>
        <w:rPr>
          <w:rFonts w:hint="eastAsia" w:ascii="Times New Roman" w:hAnsi="Times New Roman" w:eastAsia="宋体" w:cs="Times New Roman"/>
          <w:sz w:val="24"/>
        </w:rPr>
        <w:t>方</w:t>
      </w:r>
      <w:r>
        <w:rPr>
          <w:rFonts w:ascii="Times New Roman" w:hAnsi="Times New Roman" w:eastAsia="宋体" w:cs="Times New Roman"/>
          <w:sz w:val="24"/>
        </w:rPr>
        <w:t>法指导、专业细化到</w:t>
      </w:r>
      <w:r>
        <w:rPr>
          <w:rFonts w:hint="eastAsia" w:ascii="Times New Roman" w:hAnsi="Times New Roman" w:eastAsia="宋体" w:cs="Times New Roman"/>
          <w:sz w:val="24"/>
        </w:rPr>
        <w:t>安</w:t>
      </w:r>
      <w:r>
        <w:rPr>
          <w:rFonts w:ascii="Times New Roman" w:hAnsi="Times New Roman" w:eastAsia="宋体" w:cs="Times New Roman"/>
          <w:sz w:val="24"/>
        </w:rPr>
        <w:t>全强制的成熟闭环。</w:t>
      </w:r>
    </w:p>
    <w:p w14:paraId="3382664D">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当前，无人机通信研究已从早期的</w:t>
      </w:r>
      <w:r>
        <w:rPr>
          <w:rFonts w:hint="eastAsia" w:ascii="Times New Roman" w:hAnsi="Times New Roman" w:eastAsia="宋体" w:cs="Times New Roman"/>
          <w:sz w:val="24"/>
        </w:rPr>
        <w:t>“</w:t>
      </w:r>
      <w:r>
        <w:rPr>
          <w:rFonts w:ascii="Times New Roman" w:hAnsi="Times New Roman" w:eastAsia="宋体" w:cs="Times New Roman"/>
          <w:sz w:val="24"/>
        </w:rPr>
        <w:t>保证连通</w:t>
      </w:r>
      <w:r>
        <w:rPr>
          <w:rFonts w:hint="eastAsia" w:ascii="Times New Roman" w:hAnsi="Times New Roman" w:eastAsia="宋体" w:cs="Times New Roman"/>
          <w:sz w:val="24"/>
        </w:rPr>
        <w:t>”</w:t>
      </w:r>
      <w:r>
        <w:rPr>
          <w:rFonts w:ascii="Times New Roman" w:hAnsi="Times New Roman" w:eastAsia="宋体" w:cs="Times New Roman"/>
          <w:sz w:val="24"/>
        </w:rPr>
        <w:t>转向</w:t>
      </w:r>
      <w:r>
        <w:rPr>
          <w:rFonts w:hint="eastAsia" w:ascii="Times New Roman" w:hAnsi="Times New Roman" w:eastAsia="宋体" w:cs="Times New Roman"/>
          <w:sz w:val="24"/>
        </w:rPr>
        <w:t>“</w:t>
      </w:r>
      <w:r>
        <w:rPr>
          <w:rFonts w:ascii="Times New Roman" w:hAnsi="Times New Roman" w:eastAsia="宋体" w:cs="Times New Roman"/>
          <w:sz w:val="24"/>
        </w:rPr>
        <w:t>提升可靠、效率和适应复杂场景</w:t>
      </w:r>
      <w:r>
        <w:rPr>
          <w:rFonts w:hint="eastAsia" w:ascii="Times New Roman" w:hAnsi="Times New Roman" w:eastAsia="宋体" w:cs="Times New Roman"/>
          <w:sz w:val="24"/>
        </w:rPr>
        <w:t>”</w:t>
      </w:r>
      <w:r>
        <w:rPr>
          <w:rFonts w:ascii="Times New Roman" w:hAnsi="Times New Roman" w:eastAsia="宋体" w:cs="Times New Roman"/>
          <w:sz w:val="24"/>
        </w:rPr>
        <w:t>。随着5G/6G技术向低空延伸，以及多无人机协同任务的普及，研究焦点集中于信道测量与建模、抗干扰技术，动态组网协议及智能优化算法的应用。然而，该领域仍存在以下显著问题：其一，干扰场景特征库建设不足，不同行业场景</w:t>
      </w:r>
      <w:r>
        <w:rPr>
          <w:rFonts w:hint="eastAsia" w:ascii="Times New Roman" w:hAnsi="Times New Roman" w:eastAsia="宋体" w:cs="Times New Roman"/>
          <w:sz w:val="24"/>
        </w:rPr>
        <w:t>（</w:t>
      </w:r>
      <w:r>
        <w:rPr>
          <w:rFonts w:ascii="Times New Roman" w:hAnsi="Times New Roman" w:eastAsia="宋体" w:cs="Times New Roman"/>
          <w:sz w:val="24"/>
        </w:rPr>
        <w:t>如城市、铁路、公网）的频谱特征分散，缺乏统一标准与共享机制；其二，针对多无人机动态组网</w:t>
      </w:r>
      <w:r>
        <w:rPr>
          <w:rFonts w:hint="eastAsia" w:ascii="Times New Roman" w:hAnsi="Times New Roman" w:eastAsia="宋体" w:cs="Times New Roman"/>
          <w:sz w:val="24"/>
        </w:rPr>
        <w:t>（</w:t>
      </w:r>
      <w:r>
        <w:rPr>
          <w:rFonts w:ascii="Times New Roman" w:hAnsi="Times New Roman" w:eastAsia="宋体" w:cs="Times New Roman"/>
          <w:sz w:val="24"/>
        </w:rPr>
        <w:t>如中心节点切换、多跳链路稳定性）的测试方法多停留在静态或理想化仿真阶段，未能充分利用AI算法生成极端测试用例，其三，实验室实测数据与仿真模型的参数对接存在“抽象偏差”，导致仿真结果难以直接指导实际外场测试。</w:t>
      </w:r>
    </w:p>
    <w:p w14:paraId="2C9B6872">
      <w:pPr>
        <w:numPr>
          <w:ilvl w:val="2"/>
          <w:numId w:val="1"/>
        </w:numPr>
        <w:spacing w:line="360" w:lineRule="auto"/>
        <w:ind w:left="1168"/>
        <w:outlineLvl w:val="2"/>
        <w:rPr>
          <w:rFonts w:ascii="Times New Roman" w:hAnsi="Times New Roman"/>
          <w:b/>
          <w:bCs/>
          <w:sz w:val="24"/>
        </w:rPr>
      </w:pPr>
      <w:bookmarkStart w:id="10" w:name="_Toc29718"/>
      <w:bookmarkStart w:id="11" w:name="_Toc16670"/>
      <w:r>
        <w:rPr>
          <w:rFonts w:hint="eastAsia" w:ascii="Times New Roman" w:hAnsi="Times New Roman"/>
          <w:b/>
          <w:bCs/>
          <w:sz w:val="24"/>
        </w:rPr>
        <w:t>研究现状</w:t>
      </w:r>
      <w:bookmarkEnd w:id="10"/>
      <w:bookmarkEnd w:id="11"/>
    </w:p>
    <w:p w14:paraId="6102BA6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如今，国内外在无人机通信抗干扰领域的研究主要针对两大问题：一是对于无人机与地面站或无人机之间点对点的通信，其易受到环境的影响，如：城市建筑群的遮挡、公网无线信号干扰、铁路接触网和电力网络电磁辐射等，从而导致产生时延增加、丢包率上升等问题。如北京理工大学的李斌、费泽松等于2019年发表在IEEE Internet of Things Journal上的《UAV Communications for 5G and Beyond:Recent Advances and Future Trends》明确讨论了 UAV 点对点通信（包括UAV-GCS和UAV-UAV）在实际环境中所容易受到的环境影响的挑战</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_Ref32348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[2]</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w:t>
      </w:r>
    </w:p>
    <w:p w14:paraId="40B5C4DB">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对于无人机通信质量基础参数受到的环境影响的原因研究也日益深入，如日本富山大学研究者Kaisei Aoki和Kazuhiro Honda等于2025年发表在《Drones》上的关于低空无人机对地通信Rician K因子的测量进一步证实，在结构复杂的城市环境中，由于多径效应导致Rician K因子显著降低，通信质量随之下降</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_Ref32570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[4]</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w:t>
      </w:r>
    </w:p>
    <w:p w14:paraId="184DCB52">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二是对于多无人机协同任务通信，组网通信面临中心节点动态变化、多跳链路不稳定、切换过程中断等特殊问题，也有许多研究者进行了相关研究。如：电子科技大学周睿等在2023年针对无人机蜂群系统，提出了一种基于粒子群优化（PSO）的分布式拓扑快速构建方法</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_Ref491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该方法在满足特定端到端通信时延要求的前提下，以最大化网络拓扑维持时间为目标，通过优化粒子群初始值以及迭代方向与步长，显著提升了拓扑构建的收敛速度。重庆邮电大学李其超等在2020年设计了一种高效可靠的多跳TDMA协议(ERMH-TDMA)</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_Ref671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[11]</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。通过实时更新节点时隙请求信息机制，适应节点高速移动带来的拓扑变化，提升了多跳传输的可靠性。哈尔滨工业大学顾昕仪在2020的研究则从多信道跳频接入的角度，对无人机Ad Hoc网络的传输容量进行了深入研究</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_Ref752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[3]</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。通过建立复合哀落信道与干扰模型，最终提升了高动态环境下网络的抗干扰能力和频谱利用效率。</w:t>
      </w:r>
    </w:p>
    <w:p w14:paraId="7B7DC062">
      <w:pPr>
        <w:numPr>
          <w:ilvl w:val="2"/>
          <w:numId w:val="1"/>
        </w:numPr>
        <w:spacing w:line="360" w:lineRule="auto"/>
        <w:ind w:left="1168"/>
        <w:outlineLvl w:val="2"/>
        <w:rPr>
          <w:rFonts w:ascii="Times New Roman" w:hAnsi="Times New Roman"/>
          <w:b/>
          <w:bCs/>
          <w:sz w:val="24"/>
        </w:rPr>
      </w:pPr>
      <w:bookmarkStart w:id="12" w:name="_Toc15718"/>
      <w:r>
        <w:rPr>
          <w:rFonts w:hint="eastAsia" w:ascii="Times New Roman" w:hAnsi="Times New Roman"/>
          <w:b/>
          <w:bCs/>
          <w:sz w:val="24"/>
        </w:rPr>
        <w:t>发展趋势</w:t>
      </w:r>
      <w:bookmarkEnd w:id="12"/>
    </w:p>
    <w:p w14:paraId="224A674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综合国内外研究现状与技术痛点，无人机通信抗干扰性能的测试评估技术呈现以下四大发展趋势:</w:t>
      </w:r>
    </w:p>
    <w:p w14:paraId="1B68525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1.测试场景的精细化与标准化：未来研究将致力于构建跨行业（如电力、铁路、城市）的标准干扰特征库，实现“场景特征-测试用例”的快速映射与复用，为测试提供统一基准。</w:t>
      </w:r>
    </w:p>
    <w:p w14:paraId="0C2B23F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2.智能算法的应用：遗传算法（GA）与生成对抗网络（GAN）等AI算法将深度赋能测试优化</w:t>
      </w:r>
      <w:r>
        <w:rPr>
          <w:rFonts w:hint="eastAsia" w:ascii="Times New Roman" w:hAnsi="Times New Roman" w:eastAsia="宋体" w:cs="Times New Roman"/>
          <w:sz w:val="24"/>
          <w:vertAlign w:val="superscript"/>
        </w:rPr>
        <w:fldChar w:fldCharType="begin"/>
      </w:r>
      <w:r>
        <w:rPr>
          <w:rFonts w:hint="eastAsia" w:ascii="Times New Roman" w:hAnsi="Times New Roman" w:eastAsia="宋体" w:cs="Times New Roman"/>
          <w:sz w:val="24"/>
          <w:vertAlign w:val="superscript"/>
        </w:rPr>
        <w:instrText xml:space="preserve"> REF _Ref870 \w \h </w:instrText>
      </w:r>
      <w:r>
        <w:rPr>
          <w:rFonts w:hint="eastAsia" w:ascii="Times New Roman" w:hAnsi="Times New Roman" w:eastAsia="宋体" w:cs="Times New Roman"/>
          <w:sz w:val="24"/>
          <w:vertAlign w:val="superscript"/>
        </w:rPr>
        <w:fldChar w:fldCharType="separate"/>
      </w:r>
      <w:r>
        <w:rPr>
          <w:rFonts w:hint="eastAsia" w:ascii="Times New Roman" w:hAnsi="Times New Roman" w:eastAsia="宋体" w:cs="Times New Roman"/>
          <w:sz w:val="24"/>
          <w:vertAlign w:val="superscript"/>
        </w:rPr>
        <w:t>[15]</w:t>
      </w:r>
      <w:r>
        <w:rPr>
          <w:rFonts w:hint="eastAsia" w:ascii="Times New Roman" w:hAnsi="Times New Roman" w:eastAsia="宋体" w:cs="Times New Roman"/>
          <w:sz w:val="24"/>
          <w:vertAlign w:val="superscript"/>
        </w:rPr>
        <w:fldChar w:fldCharType="end"/>
      </w:r>
      <w:r>
        <w:rPr>
          <w:rFonts w:hint="eastAsia" w:ascii="Times New Roman" w:hAnsi="Times New Roman" w:eastAsia="宋体" w:cs="Times New Roman"/>
          <w:sz w:val="24"/>
        </w:rPr>
        <w:t>。通过遗传算法进行干扰特征的筛选，利用生成对抗网络生成极端干扰场景，最终形成无人机动态场景下的测试用例生成方法，使得测试更加充分、更有效率。</w:t>
      </w:r>
    </w:p>
    <w:p w14:paraId="6E0F0D65">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空-天-地”一体化测试验证：随着低空经济莲勃发展，无人机通信测试将更加注重实测与仿真的验证。通过将点对点通信参数抽象为“可复用接口函数”，实现Opnet等仿真工具与实际硬件平台的“参数对齐”，使仿真结果能更精准地指导外场试验，降低成本与周期。</w:t>
      </w:r>
    </w:p>
    <w:p w14:paraId="5281E00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4.面向新一代通信技术的演进与探索：面向6G等下一代通信技术的无人机通信将向更高速率、更低时延，更高可靠性迈进，通信测试的重点也将从基础参数测量转向极端场景下的性能极限验证（如高空低氧、强电磁脉冲干扰等）。</w:t>
      </w:r>
    </w:p>
    <w:p w14:paraId="5B7BCAE6">
      <w:pPr>
        <w:numPr>
          <w:ilvl w:val="0"/>
          <w:numId w:val="1"/>
        </w:numPr>
        <w:spacing w:line="360" w:lineRule="auto"/>
        <w:ind w:left="363" w:hanging="363"/>
        <w:outlineLvl w:val="0"/>
        <w:rPr>
          <w:rFonts w:ascii="Times New Roman" w:hAnsi="Times New Roman"/>
          <w:b/>
          <w:bCs/>
          <w:sz w:val="24"/>
        </w:rPr>
      </w:pPr>
      <w:bookmarkStart w:id="13" w:name="_Toc18720"/>
      <w:bookmarkStart w:id="14" w:name="_Toc656"/>
      <w:r>
        <w:rPr>
          <w:rFonts w:hint="eastAsia" w:ascii="Times New Roman" w:hAnsi="Times New Roman"/>
          <w:b/>
          <w:bCs/>
          <w:sz w:val="24"/>
        </w:rPr>
        <w:t>论文研究方案</w:t>
      </w:r>
      <w:bookmarkEnd w:id="13"/>
      <w:bookmarkEnd w:id="14"/>
    </w:p>
    <w:p w14:paraId="3723C467">
      <w:pPr>
        <w:spacing w:line="360" w:lineRule="auto"/>
        <w:ind w:left="363"/>
        <w:outlineLvl w:val="1"/>
        <w:rPr>
          <w:rFonts w:ascii="Times New Roman" w:hAnsi="Times New Roman"/>
          <w:b/>
          <w:bCs/>
          <w:sz w:val="24"/>
        </w:rPr>
      </w:pPr>
      <w:bookmarkStart w:id="15" w:name="_Toc7205"/>
      <w:bookmarkStart w:id="16" w:name="_Toc716"/>
      <w:r>
        <w:rPr>
          <w:rFonts w:hint="eastAsia" w:ascii="Times New Roman" w:hAnsi="Times New Roman"/>
          <w:b/>
          <w:bCs/>
          <w:sz w:val="24"/>
        </w:rPr>
        <w:t>2.1 研究目标及研究内容</w:t>
      </w:r>
      <w:bookmarkEnd w:id="15"/>
      <w:bookmarkEnd w:id="16"/>
    </w:p>
    <w:p w14:paraId="72327E01">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研究旨在通过“实验测量-模型抽象-仿真推演-智能生成”，解决无人机单机通信及多无人机组网通信在复杂电磁环境下的测试与评估难题，并能以该框架获得无人机通信抗干扰方案设计能力。核心研究内容如下:</w:t>
      </w:r>
    </w:p>
    <w:p w14:paraId="1618DD5C">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通信链路性能的实验评估：通过构建暗室测试环境，对无人机与地面站及无人机之间的通信链路进行全面量化测试，通过实验研究评估无人机与地面站之间以及多无人机之间的通信链路性能，包括：无人机通信基础参数测试、通信距离测试、通信带宽测试、通信延迟测试、通信丢包率测试、通信抗干扰测试、通信切换测试、多跳通信测试、多无人机通信测试。</w:t>
      </w:r>
    </w:p>
    <w:p w14:paraId="52F0C29A">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面向动态组网问题的智能测试场景生成：针对多无人机组网通信的特殊问题：1.中心节点不断变化、2.多跳通信问题、3.切换通信问题等，研究分析其相对点到点无人机通信场景的特殊性，进行网络仿真研究，并针对干扰场景对多跳的影响研究如何模拟干扰，针对干扰的不同场景的特征变化：4G\5G、wifi、公网、铁路、城市等场景建立基础特征库。使用特征库的不同频谱作为元素，利用人工智能遗传算法、生成对抗网络去训练寻找特征库组合对多无人机通信链路中的多跳、切换问题具有最大影响的场景，从而为多无人机的仿真和实际测试提供指导。</w:t>
      </w:r>
    </w:p>
    <w:p w14:paraId="79665FEA">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可移植的测试用例生成方法研究：对上述智能算法训练产生的典型测试用例及其生成方程进行归纳与理论研究。目标是形成一套能够适配不同限定条件（如特定频段、干扰强度、拓扑结构）的、可移植的测试用例优化方法论，提升研究成果的普适性与复用价值。</w:t>
      </w:r>
    </w:p>
    <w:p w14:paraId="677A8945">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实测数据与仿真模型的接口校正：将实验室中测得的点对点通信参数，抽象并转化为仿真网络中可用的空口链路接口函数。此举旨在校正仿真模型中最为基础的节点通信行为，确保网络仿真的底层通信机制源于真实数据，从而为大规模、高复杂度的多无人机组网仿真提供可靠的数据支撑与模型保障。通过校正仿真网络中的点对点的抽象接口函数，可以为仿真训练网络大的网络中最基础的两个节点的情况提供实际实验数据的支撑。</w:t>
      </w:r>
    </w:p>
    <w:p w14:paraId="62F1003E">
      <w:pPr>
        <w:spacing w:line="360" w:lineRule="auto"/>
        <w:ind w:left="363"/>
        <w:outlineLvl w:val="1"/>
        <w:rPr>
          <w:rFonts w:ascii="Times New Roman" w:hAnsi="Times New Roman"/>
          <w:b/>
          <w:bCs/>
          <w:sz w:val="24"/>
        </w:rPr>
      </w:pPr>
      <w:bookmarkStart w:id="17" w:name="_Toc22963"/>
      <w:bookmarkStart w:id="18" w:name="_Toc30954"/>
      <w:r>
        <w:rPr>
          <w:rFonts w:hint="eastAsia" w:ascii="Times New Roman" w:hAnsi="Times New Roman"/>
          <w:b/>
          <w:bCs/>
          <w:sz w:val="24"/>
        </w:rPr>
        <w:t>2.2 拟解决的关键问题及难点</w:t>
      </w:r>
      <w:bookmarkEnd w:id="17"/>
      <w:bookmarkEnd w:id="18"/>
    </w:p>
    <w:p w14:paraId="52A3451B">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本研究的核心在于构建一个“实测-建模-仿真-优化”的研究框架，其中需要攻克以下三个关键科学与技术问题：</w:t>
      </w:r>
    </w:p>
    <w:p w14:paraId="5C9EFCF1">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实测数据到仿真模型的接口抽象与精度保障问题：在暗室中获取的点对点通信参数是离散且场景受限的。如何将这些数据收集并在仿真中能够准确反映干扰强度、信道质量、通信性能等内在关联的、连续可调的接口函数，是本研究的首要难点。这要求模型不仅能拟合现有数据，还需具备一定的外推能力，以覆盖未在实验室直接测试的中间状态和极端情况。</w:t>
      </w:r>
    </w:p>
    <w:p w14:paraId="5A5A851D">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复合干扰场景下测试用例的智能化生成与优化问题：多无人机通信性能的劣化往往是多种干扰源（如4G/5G同频干扰、WiFi邻频干扰、铁路强电磁脉冲干扰）共同作用、非线性叠加的结果。穷举所有可能的组合在计算上是不可行的。如何利用遗传算法进行高效搜索，并借助生成对抗网络的生成能力，创造出对现有通信协议和算法威胁最大、最能暴露系统脆弱性的“极限压力测试场景”，并最终形成可解释、可配置的测试用例生成方程，是本研究的核心创新点，也是主要算法难点。</w:t>
      </w:r>
    </w:p>
    <w:p w14:paraId="5DB1820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智能化测试场景在仿真环境中的集成与验证问题：将上述数学方程描述的“最大影响干扰场景“在OPNET仿真器中准确、高效地复现出来，涉及对传统仿真通信过程的干预。如何设计一种干扰库注入接口，确保生成的动态干扰模式能够与仿真时间轴精准同步，并实时影响虚拟无人机节点的通信链路，从而实现对多无人机组网性能（如路由收敛时间、分组投递率）的可靠评估，并最终指导通信系统抗干扰方案设计是验证整个方法有效性的最终技术难关。</w:t>
      </w:r>
    </w:p>
    <w:p w14:paraId="7DD60DDF">
      <w:pPr>
        <w:spacing w:line="360" w:lineRule="auto"/>
        <w:ind w:left="363"/>
        <w:outlineLvl w:val="1"/>
        <w:rPr>
          <w:rFonts w:ascii="Times New Roman" w:hAnsi="Times New Roman"/>
          <w:b/>
          <w:bCs/>
          <w:sz w:val="24"/>
        </w:rPr>
      </w:pPr>
      <w:bookmarkStart w:id="19" w:name="_Toc11870"/>
      <w:bookmarkStart w:id="20" w:name="_Toc30666"/>
      <w:r>
        <w:rPr>
          <w:rFonts w:hint="eastAsia" w:ascii="Times New Roman" w:hAnsi="Times New Roman"/>
          <w:b/>
          <w:bCs/>
          <w:sz w:val="24"/>
        </w:rPr>
        <w:t>2.3 拟采用的研究方案</w:t>
      </w:r>
      <w:bookmarkEnd w:id="19"/>
      <w:bookmarkEnd w:id="20"/>
    </w:p>
    <w:p w14:paraId="17DF2138">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本研究采用基于实验参数实际测量进行仿真节点库与接口函数、干扰特征库建立，并基于干扰特征库通过智能算法生成所需测试用例的“实验-建模-仿真-算法生成”的研究方案。</w:t>
      </w:r>
    </w:p>
    <w:p w14:paraId="660A28E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实验参数测量分析，构建高精度基础数据集：在微波暗室中，搭建由矢量信号分析仪、软件、无线电平台及被测无人机组成的测试环境。利用iperf3数据流监测软件工具、Wireshark数据包抓取分析工具等精确时延与丢包，通过矢量信号分析仪监测信号频谱与质量，测量不同通信距离、信号带宽下的基础性能。引入模拟于扰源（4G/5G信号发生器、WiFi干扰源、脉冲噪声模拟器），测量在不同类型、不同强度干扰下，无人机通信的吞吐量下降、时延增加、误码率飙升等关键指标的动态变化，形成一份详实的、可用于模型校正的“信道干扰-性能响应”数据集。</w:t>
      </w:r>
    </w:p>
    <w:p w14:paraId="2ECFEB4E">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接口函数生成：基于实验数据，采用曲线拟合等方法，建立可移植的仿真基础，拟合成参数数学函数。对于更复杂的影响，可考虑建立基于信道状态信息的轻量级机器学习模型作为接口函数输出，生成一系列可嵌入OPNET节点的基于C/C++的接口函数。这些函数将以查表或节点库的形式，在仿真运行时根据当前信道条件和干扰配置，实时动态地调整点对点链路的丢包率和时延，从而将实验室的物理测量结果在仿真中复现。</w:t>
      </w:r>
    </w:p>
    <w:p w14:paraId="7982CA7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（3）多无人机通信仿真搭建高保真组网测试平台：在OPNET Modeler中，构建包含地面控制站、无人机节点的仿真场景。每个无人机节点的通信模块将集成步骤（2）中生成的接口函数。通过OPNET的进程模型和管道阶段编程，实现对路由协议的修改，以精确模拟多跳通信、链路切换等动态组网过程。设置城市、野外、铁路沿线等多种典型地理环境，模拟无人机群的协同侦察、数据中继等任务为后续的干扰测试提供稳定的基准和多样化的组网背景。</w:t>
      </w:r>
    </w:p>
    <w:p w14:paraId="299DAA0B">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4）算法生成优化：进行特征库构建，将各类干扰的特征（中心频率、带宽、功率、调制方式、时间模式）数字化，形成基础特征库。利用遗传算法优化：如以"对多跳通信时延/丢包率的影响最大”为适应度函数，将干扰特征的组合编码，通过选择、交叉、变异等操作，迭代搜索最优的干扰场景组合。生成对抗网络辅助：利用GAN的生成器，学习现有干扰特征的分布，并创造出新的、未曾出现在特征库中但符合物理规律的“虚拟干扰场景”，与遗传算法结合，探索更复杂的干扰空间。最终得到一个或多个测试用例生成方程，该方程能够根据输入的限定条件（如”仅使用公网干扰”、“干扰总带宽不超过20MHz”），输出一组最优的干扰参数组合和测试用例生成方法。</w:t>
      </w:r>
    </w:p>
    <w:p w14:paraId="2091430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5）实现与验证：在OPNET仿真平台中，开发一个动态干扰接口，将相应的干扰动态地施加到指定的无人机通信链路上。对比分析在“基准无干扰场景”、“常规干扰场景”和“智能生成的最大影响干扰场景”下，无人机网络的端到端时延、丢包率、网络吞吐量等核心性能指标。并可在此基础上设计验证无人机通信系统抗干扰方案的性能，通过显著的性能差异，验证所生成的测试用例的有效性和优越性。</w:t>
      </w:r>
    </w:p>
    <w:p w14:paraId="7FC57E57">
      <w:pPr>
        <w:spacing w:line="360" w:lineRule="auto"/>
        <w:outlineLvl w:val="1"/>
        <w:rPr>
          <w:rFonts w:ascii="Times New Roman" w:hAnsi="Times New Roman"/>
          <w:b/>
          <w:bCs/>
          <w:sz w:val="24"/>
        </w:rPr>
      </w:pPr>
      <w:bookmarkStart w:id="21" w:name="_Toc17321"/>
      <w:bookmarkStart w:id="22" w:name="_Toc14223"/>
      <w:r>
        <w:rPr>
          <w:rFonts w:hint="eastAsia" w:ascii="Times New Roman" w:hAnsi="Times New Roman"/>
          <w:b/>
          <w:bCs/>
          <w:sz w:val="24"/>
        </w:rPr>
        <w:t>3. 预期达到的目标</w:t>
      </w:r>
      <w:bookmarkEnd w:id="21"/>
      <w:bookmarkEnd w:id="22"/>
    </w:p>
    <w:p w14:paraId="568CDA26">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本研究预期在理论方法、技术工具和数据集方面取得突破，形成一套系统的无人机通信测试评估方案和用例生成方法，具体目标如下:</w:t>
      </w:r>
    </w:p>
    <w:p w14:paraId="7499B819">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（1）形成一套标准化的无人机通信基础参数数据集：通过严谨的暗室实验，获取一份包含距离、带宽、典型干扰等多维度的无人机点对点通信性能数据集，为同行研究提供基准参考。</w:t>
      </w:r>
    </w:p>
    <w:p w14:paraId="48387E2F">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（2）建立准确的“实测-仿真”接口模型：成功开发并验证一组高精度的通信接口函数，实现实验室数据与OPNET网络仿真的无缝衔接，提升仿真结果的可信度。</w:t>
      </w:r>
    </w:p>
    <w:p w14:paraId="3A4DA884">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构建一个智能化的无人机通信压力测试系统：最终行成一个由干扰特征库、智能用例生成算法（含方程）和OPNET仿真平台共同构成的集成系统，该系统能够根据用户设定的关注点（如切换成功率、多跳稳定性），自动生成并执行“最恶劣”的测试场景，极大提升测试效率与深度以及抗干扰方案性能。</w:t>
      </w:r>
    </w:p>
    <w:p w14:paraId="5046A8D1">
      <w:pPr>
        <w:spacing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4）产出对工业界有指导意义的研究结论：通过系统性仿真测试，揭示单无人机通信与多无人机组网在复合干扰下的性能瓶颈与失效机理，为无人机通信协议的优化设计，抗干扰技术的研发提供明确的数据支撑和方向指引。</w:t>
      </w:r>
    </w:p>
    <w:p w14:paraId="41C74419">
      <w:pPr>
        <w:spacing w:line="360" w:lineRule="auto"/>
        <w:outlineLvl w:val="1"/>
        <w:rPr>
          <w:rFonts w:ascii="Times New Roman" w:hAnsi="Times New Roman"/>
          <w:b/>
          <w:bCs/>
          <w:sz w:val="24"/>
        </w:rPr>
      </w:pPr>
      <w:bookmarkStart w:id="23" w:name="_Toc3906"/>
      <w:r>
        <w:rPr>
          <w:rFonts w:hint="eastAsia" w:ascii="Times New Roman" w:hAnsi="Times New Roman"/>
          <w:b/>
          <w:bCs/>
          <w:sz w:val="24"/>
        </w:rPr>
        <w:t>4. 论文工作计划</w:t>
      </w:r>
      <w:bookmarkEnd w:id="23"/>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6507"/>
        <w:gridCol w:w="2182"/>
      </w:tblGrid>
      <w:tr w14:paraId="5940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82" w:type="dxa"/>
            <w:vAlign w:val="center"/>
          </w:tcPr>
          <w:p w14:paraId="148C5BAF">
            <w:pPr>
              <w:spacing w:line="440" w:lineRule="exact"/>
              <w:jc w:val="center"/>
              <w:rPr>
                <w:rFonts w:ascii="Times New Roman" w:hAnsi="Times New Roman"/>
                <w:sz w:val="24"/>
                <w:vertAlign w:val="superscript"/>
              </w:rPr>
            </w:pPr>
            <w:r>
              <w:rPr>
                <w:rFonts w:hint="eastAsia" w:ascii="Times New Roman" w:hAnsi="Times New Roman"/>
                <w:sz w:val="24"/>
              </w:rPr>
              <w:t>序号</w:t>
            </w:r>
          </w:p>
        </w:tc>
        <w:tc>
          <w:tcPr>
            <w:tcW w:w="6507" w:type="dxa"/>
            <w:vAlign w:val="center"/>
          </w:tcPr>
          <w:p w14:paraId="67A611ED">
            <w:pPr>
              <w:spacing w:line="440" w:lineRule="exact"/>
              <w:jc w:val="center"/>
              <w:rPr>
                <w:rFonts w:ascii="Times New Roman" w:hAnsi="Times New Roman"/>
                <w:sz w:val="24"/>
              </w:rPr>
            </w:pPr>
            <w:r>
              <w:rPr>
                <w:rFonts w:hint="eastAsia" w:ascii="Times New Roman" w:hAnsi="Times New Roman"/>
                <w:sz w:val="24"/>
              </w:rPr>
              <w:t>工作内容</w:t>
            </w:r>
          </w:p>
        </w:tc>
        <w:tc>
          <w:tcPr>
            <w:tcW w:w="2182" w:type="dxa"/>
            <w:vAlign w:val="center"/>
          </w:tcPr>
          <w:p w14:paraId="690AAAA1">
            <w:pPr>
              <w:spacing w:line="440" w:lineRule="exact"/>
              <w:jc w:val="center"/>
              <w:rPr>
                <w:rFonts w:ascii="Times New Roman" w:hAnsi="Times New Roman"/>
                <w:sz w:val="24"/>
              </w:rPr>
            </w:pPr>
            <w:r>
              <w:rPr>
                <w:rFonts w:hint="eastAsia" w:ascii="Times New Roman" w:hAnsi="Times New Roman"/>
                <w:sz w:val="24"/>
              </w:rPr>
              <w:t>时间</w:t>
            </w:r>
          </w:p>
        </w:tc>
      </w:tr>
      <w:tr w14:paraId="5A3F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882" w:type="dxa"/>
            <w:vAlign w:val="center"/>
          </w:tcPr>
          <w:p w14:paraId="2717CB10">
            <w:pPr>
              <w:spacing w:line="440" w:lineRule="exact"/>
              <w:jc w:val="center"/>
              <w:rPr>
                <w:rFonts w:ascii="Times New Roman" w:hAnsi="Times New Roman"/>
                <w:sz w:val="24"/>
              </w:rPr>
            </w:pPr>
            <w:r>
              <w:rPr>
                <w:rFonts w:hint="eastAsia" w:ascii="Times New Roman" w:hAnsi="Times New Roman"/>
                <w:sz w:val="24"/>
              </w:rPr>
              <w:t>1</w:t>
            </w:r>
          </w:p>
        </w:tc>
        <w:tc>
          <w:tcPr>
            <w:tcW w:w="6507" w:type="dxa"/>
            <w:vAlign w:val="center"/>
          </w:tcPr>
          <w:p w14:paraId="56D5F80F">
            <w:pPr>
              <w:spacing w:line="440" w:lineRule="exact"/>
              <w:rPr>
                <w:rFonts w:ascii="Times New Roman" w:hAnsi="Times New Roman" w:eastAsia="宋体"/>
                <w:sz w:val="24"/>
              </w:rPr>
            </w:pPr>
            <w:r>
              <w:rPr>
                <w:rFonts w:hint="eastAsia" w:ascii="Times New Roman" w:hAnsi="Times New Roman" w:eastAsia="宋体"/>
                <w:sz w:val="24"/>
              </w:rPr>
              <w:t>系统梳理无人机通信测试与抗干扰技术的国内外研究现状，分析现有方法局限性。在此基础上，明确本研究的技术路线与创新点，完成“实验测量模型抽象-仿真推演-智能生成”研究方案的设计。</w:t>
            </w:r>
          </w:p>
        </w:tc>
        <w:tc>
          <w:tcPr>
            <w:tcW w:w="2182" w:type="dxa"/>
          </w:tcPr>
          <w:p w14:paraId="699A29B8">
            <w:pPr>
              <w:spacing w:line="440" w:lineRule="exact"/>
              <w:rPr>
                <w:rFonts w:ascii="Times New Roman" w:hAnsi="Times New Roman" w:eastAsia="宋体"/>
                <w:sz w:val="24"/>
              </w:rPr>
            </w:pPr>
            <w:r>
              <w:rPr>
                <w:rFonts w:hint="eastAsia" w:ascii="Times New Roman" w:hAnsi="Times New Roman"/>
                <w:sz w:val="24"/>
              </w:rPr>
              <w:t>2025.03-2025.10</w:t>
            </w:r>
          </w:p>
        </w:tc>
      </w:tr>
      <w:tr w14:paraId="4830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882" w:type="dxa"/>
            <w:vAlign w:val="center"/>
          </w:tcPr>
          <w:p w14:paraId="4CB71B05">
            <w:pPr>
              <w:spacing w:line="440" w:lineRule="exact"/>
              <w:jc w:val="center"/>
              <w:rPr>
                <w:rFonts w:ascii="Times New Roman" w:hAnsi="Times New Roman" w:eastAsia="宋体"/>
                <w:sz w:val="24"/>
              </w:rPr>
            </w:pPr>
            <w:r>
              <w:rPr>
                <w:rFonts w:hint="eastAsia" w:ascii="Times New Roman" w:hAnsi="Times New Roman"/>
                <w:sz w:val="24"/>
              </w:rPr>
              <w:t>2</w:t>
            </w:r>
          </w:p>
        </w:tc>
        <w:tc>
          <w:tcPr>
            <w:tcW w:w="6507" w:type="dxa"/>
            <w:vAlign w:val="center"/>
          </w:tcPr>
          <w:p w14:paraId="27945D91">
            <w:pPr>
              <w:spacing w:line="440" w:lineRule="exact"/>
              <w:rPr>
                <w:rFonts w:ascii="Times New Roman" w:hAnsi="Times New Roman" w:eastAsia="宋体"/>
                <w:sz w:val="24"/>
              </w:rPr>
            </w:pPr>
            <w:r>
              <w:rPr>
                <w:rFonts w:hint="eastAsia" w:ascii="Times New Roman" w:hAnsi="Times New Roman" w:eastAsia="宋体"/>
                <w:sz w:val="24"/>
              </w:rPr>
              <w:t>搭建微波暗室测试环境，配置矢量信号分析仪、软件无线电平台及干扰模拟设备。开展单机通信链路的基础性能测试，包括通信距离、时延、带宽与丢包率等关键指标；同时进行多无人机组网测试，</w:t>
            </w:r>
          </w:p>
          <w:p w14:paraId="01D659D9">
            <w:pPr>
              <w:spacing w:line="440" w:lineRule="exact"/>
              <w:rPr>
                <w:rFonts w:ascii="Times New Roman" w:hAnsi="Times New Roman" w:eastAsia="宋体"/>
                <w:sz w:val="24"/>
              </w:rPr>
            </w:pPr>
            <w:r>
              <w:rPr>
                <w:rFonts w:hint="eastAsia" w:ascii="Times New Roman" w:hAnsi="Times New Roman" w:eastAsia="宋体"/>
                <w:sz w:val="24"/>
              </w:rPr>
              <w:t>评估切换性能与多跳通信稳定性；构建包含4G/5G、Wi-Fi、铁路电磁干扰等典型场景的特征库，形成完整的实验数据集。</w:t>
            </w:r>
          </w:p>
        </w:tc>
        <w:tc>
          <w:tcPr>
            <w:tcW w:w="2182" w:type="dxa"/>
          </w:tcPr>
          <w:p w14:paraId="174188F7">
            <w:pPr>
              <w:spacing w:line="440" w:lineRule="exact"/>
              <w:rPr>
                <w:rFonts w:ascii="Times New Roman" w:hAnsi="Times New Roman" w:eastAsia="宋体"/>
                <w:sz w:val="24"/>
              </w:rPr>
            </w:pPr>
            <w:r>
              <w:rPr>
                <w:rFonts w:hint="eastAsia" w:ascii="Times New Roman" w:hAnsi="Times New Roman"/>
                <w:sz w:val="24"/>
              </w:rPr>
              <w:t>2025.10-2026.05</w:t>
            </w:r>
          </w:p>
        </w:tc>
      </w:tr>
      <w:tr w14:paraId="108D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882" w:type="dxa"/>
            <w:vAlign w:val="center"/>
          </w:tcPr>
          <w:p w14:paraId="7A9CEC3E">
            <w:pPr>
              <w:spacing w:line="440" w:lineRule="exact"/>
              <w:jc w:val="center"/>
              <w:rPr>
                <w:rFonts w:ascii="Times New Roman" w:hAnsi="Times New Roman" w:eastAsia="宋体"/>
                <w:sz w:val="24"/>
              </w:rPr>
            </w:pPr>
            <w:r>
              <w:rPr>
                <w:rFonts w:hint="eastAsia" w:ascii="Times New Roman" w:hAnsi="Times New Roman"/>
                <w:sz w:val="24"/>
              </w:rPr>
              <w:t>3</w:t>
            </w:r>
          </w:p>
        </w:tc>
        <w:tc>
          <w:tcPr>
            <w:tcW w:w="6507" w:type="dxa"/>
            <w:vAlign w:val="center"/>
          </w:tcPr>
          <w:p w14:paraId="712002AD">
            <w:pPr>
              <w:spacing w:line="440" w:lineRule="exact"/>
              <w:rPr>
                <w:rFonts w:ascii="Times New Roman" w:hAnsi="Times New Roman" w:eastAsia="宋体"/>
                <w:sz w:val="24"/>
              </w:rPr>
            </w:pPr>
            <w:r>
              <w:rPr>
                <w:rFonts w:hint="eastAsia" w:ascii="Times New Roman" w:hAnsi="Times New Roman" w:eastAsia="宋体"/>
                <w:sz w:val="24"/>
              </w:rPr>
              <w:t>基于OPNET Modeler构建高保真组网仿真平台，将实测数据通过接口函数形式嵌入节点模型，实现</w:t>
            </w:r>
          </w:p>
          <w:p w14:paraId="7413A64C">
            <w:pPr>
              <w:spacing w:line="440" w:lineRule="exact"/>
              <w:rPr>
                <w:rFonts w:ascii="Times New Roman" w:hAnsi="Times New Roman" w:eastAsia="宋体"/>
                <w:sz w:val="24"/>
              </w:rPr>
            </w:pPr>
            <w:r>
              <w:rPr>
                <w:rFonts w:hint="eastAsia" w:ascii="Times New Roman" w:hAnsi="Times New Roman" w:eastAsia="宋体"/>
                <w:sz w:val="24"/>
              </w:rPr>
              <w:t>实验室环境与仿真平台的无缝对接。开发基于遗传算法和生成对抗网络的智能测试用例生成系统，自动构建对多跳、切换等组网问题具有最大影响的极端干扰场景，为测试评估提供针对性输入。</w:t>
            </w:r>
          </w:p>
        </w:tc>
        <w:tc>
          <w:tcPr>
            <w:tcW w:w="2182" w:type="dxa"/>
          </w:tcPr>
          <w:p w14:paraId="30DFB0C4">
            <w:pPr>
              <w:spacing w:line="440" w:lineRule="exact"/>
              <w:rPr>
                <w:rFonts w:ascii="Times New Roman" w:hAnsi="Times New Roman"/>
                <w:sz w:val="24"/>
              </w:rPr>
            </w:pPr>
            <w:r>
              <w:rPr>
                <w:rFonts w:hint="eastAsia" w:ascii="Times New Roman" w:hAnsi="Times New Roman"/>
                <w:sz w:val="24"/>
              </w:rPr>
              <w:t>2026.</w:t>
            </w:r>
            <w:r>
              <w:rPr>
                <w:rFonts w:ascii="Times New Roman" w:hAnsi="Times New Roman"/>
                <w:sz w:val="24"/>
              </w:rPr>
              <w:t>0</w:t>
            </w:r>
            <w:r>
              <w:rPr>
                <w:rFonts w:hint="eastAsia" w:ascii="Times New Roman" w:hAnsi="Times New Roman"/>
                <w:sz w:val="24"/>
              </w:rPr>
              <w:t>5-2026.11</w:t>
            </w:r>
          </w:p>
        </w:tc>
      </w:tr>
      <w:tr w14:paraId="1F71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882" w:type="dxa"/>
            <w:vAlign w:val="center"/>
          </w:tcPr>
          <w:p w14:paraId="0E16CE97">
            <w:pPr>
              <w:spacing w:line="440" w:lineRule="exact"/>
              <w:jc w:val="center"/>
              <w:rPr>
                <w:rFonts w:ascii="Times New Roman" w:hAnsi="Times New Roman" w:eastAsia="宋体"/>
                <w:sz w:val="24"/>
              </w:rPr>
            </w:pPr>
            <w:r>
              <w:rPr>
                <w:rFonts w:hint="eastAsia" w:ascii="Times New Roman" w:hAnsi="Times New Roman"/>
                <w:sz w:val="24"/>
              </w:rPr>
              <w:t>4</w:t>
            </w:r>
          </w:p>
        </w:tc>
        <w:tc>
          <w:tcPr>
            <w:tcW w:w="6507" w:type="dxa"/>
            <w:vAlign w:val="center"/>
          </w:tcPr>
          <w:p w14:paraId="1C003BB8">
            <w:pPr>
              <w:spacing w:line="440" w:lineRule="exact"/>
              <w:rPr>
                <w:rFonts w:ascii="Times New Roman" w:hAnsi="Times New Roman" w:eastAsia="宋体"/>
                <w:sz w:val="24"/>
              </w:rPr>
            </w:pPr>
            <w:r>
              <w:rPr>
                <w:rFonts w:hint="eastAsia" w:ascii="Times New Roman" w:hAnsi="Times New Roman"/>
                <w:sz w:val="24"/>
              </w:rPr>
              <w:t>完成实测系统、仿真平台与智能生成算法的集成验证，分析基准场景与智能生成场景下的网络性能差异。基于实验与仿真数据的对比研究，形成完整的研究结论，并完成毕业论文的撰写。</w:t>
            </w:r>
          </w:p>
        </w:tc>
        <w:tc>
          <w:tcPr>
            <w:tcW w:w="2182" w:type="dxa"/>
          </w:tcPr>
          <w:p w14:paraId="4FFFB28C">
            <w:pPr>
              <w:spacing w:line="440" w:lineRule="exact"/>
              <w:rPr>
                <w:rFonts w:ascii="Times New Roman" w:hAnsi="Times New Roman"/>
                <w:sz w:val="24"/>
              </w:rPr>
            </w:pPr>
            <w:r>
              <w:rPr>
                <w:rFonts w:hint="eastAsia" w:ascii="Times New Roman" w:hAnsi="Times New Roman"/>
                <w:sz w:val="24"/>
              </w:rPr>
              <w:t>2026.11-2027.02</w:t>
            </w:r>
          </w:p>
        </w:tc>
      </w:tr>
      <w:tr w14:paraId="4F335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882" w:type="dxa"/>
            <w:vAlign w:val="center"/>
          </w:tcPr>
          <w:p w14:paraId="6078264D">
            <w:pPr>
              <w:spacing w:line="440" w:lineRule="exact"/>
              <w:jc w:val="center"/>
              <w:rPr>
                <w:rFonts w:ascii="Times New Roman" w:hAnsi="Times New Roman" w:eastAsia="宋体"/>
                <w:sz w:val="24"/>
              </w:rPr>
            </w:pPr>
            <w:r>
              <w:rPr>
                <w:rFonts w:hint="eastAsia" w:ascii="Times New Roman" w:hAnsi="Times New Roman"/>
                <w:sz w:val="24"/>
              </w:rPr>
              <w:t>5</w:t>
            </w:r>
          </w:p>
        </w:tc>
        <w:tc>
          <w:tcPr>
            <w:tcW w:w="6507" w:type="dxa"/>
            <w:vAlign w:val="center"/>
          </w:tcPr>
          <w:p w14:paraId="7C623EB2">
            <w:pPr>
              <w:spacing w:line="440" w:lineRule="exact"/>
              <w:rPr>
                <w:rFonts w:ascii="Times New Roman" w:hAnsi="Times New Roman" w:eastAsia="宋体"/>
                <w:sz w:val="24"/>
              </w:rPr>
            </w:pPr>
            <w:r>
              <w:rPr>
                <w:rFonts w:hint="eastAsia" w:ascii="Times New Roman" w:hAnsi="Times New Roman"/>
                <w:sz w:val="24"/>
              </w:rPr>
              <w:t>毕业论文的修改与提交。</w:t>
            </w:r>
          </w:p>
        </w:tc>
        <w:tc>
          <w:tcPr>
            <w:tcW w:w="2182" w:type="dxa"/>
          </w:tcPr>
          <w:p w14:paraId="600C33FD">
            <w:pPr>
              <w:spacing w:line="440" w:lineRule="exact"/>
              <w:rPr>
                <w:rFonts w:ascii="Times New Roman" w:hAnsi="Times New Roman"/>
                <w:sz w:val="24"/>
              </w:rPr>
            </w:pPr>
            <w:r>
              <w:rPr>
                <w:rFonts w:hint="eastAsia" w:ascii="Times New Roman" w:hAnsi="Times New Roman"/>
                <w:sz w:val="24"/>
              </w:rPr>
              <w:t>2027.02-2027.04</w:t>
            </w:r>
          </w:p>
        </w:tc>
      </w:tr>
    </w:tbl>
    <w:p w14:paraId="00BE5749">
      <w:pPr>
        <w:spacing w:line="360" w:lineRule="auto"/>
        <w:outlineLvl w:val="1"/>
        <w:rPr>
          <w:rFonts w:ascii="Times New Roman" w:hAnsi="Times New Roman"/>
          <w:b/>
          <w:bCs/>
          <w:sz w:val="24"/>
        </w:rPr>
      </w:pPr>
      <w:bookmarkStart w:id="24" w:name="_Toc7831"/>
      <w:bookmarkStart w:id="25" w:name="_Toc5994"/>
      <w:r>
        <w:rPr>
          <w:rFonts w:hint="eastAsia" w:ascii="Times New Roman" w:hAnsi="Times New Roman"/>
          <w:b/>
          <w:bCs/>
          <w:sz w:val="24"/>
        </w:rPr>
        <w:t>5. 主要参考文献</w:t>
      </w:r>
      <w:bookmarkEnd w:id="24"/>
      <w:bookmarkEnd w:id="25"/>
    </w:p>
    <w:p w14:paraId="212730C3">
      <w:pPr>
        <w:numPr>
          <w:ilvl w:val="0"/>
          <w:numId w:val="2"/>
        </w:numPr>
        <w:spacing w:line="360" w:lineRule="auto"/>
        <w:ind w:left="442" w:hanging="442"/>
        <w:jc w:val="left"/>
        <w:rPr>
          <w:rFonts w:ascii="Times New Roman" w:hAnsi="Times New Roman" w:eastAsia="宋体" w:cs="Times New Roman"/>
          <w:sz w:val="24"/>
          <w:szCs w:val="20"/>
        </w:rPr>
      </w:pPr>
      <w:bookmarkStart w:id="26" w:name="_Ref491"/>
      <w:r>
        <w:rPr>
          <w:rFonts w:ascii="Times New Roman" w:hAnsi="Times New Roman" w:eastAsia="宋体" w:cs="Times New Roman"/>
          <w:sz w:val="24"/>
          <w:szCs w:val="20"/>
        </w:rPr>
        <w:t>周睿,张翔引,宋德宇,等.基于粒子群的无人机蜂群网络拓扑快速构建方法[J].电子科技大学学报,2023,52(04):506-511.DOI:CNKI:SUN:DKDX.0.2023-04-004.</w:t>
      </w:r>
      <w:bookmarkEnd w:id="26"/>
    </w:p>
    <w:p w14:paraId="778666E1">
      <w:pPr>
        <w:numPr>
          <w:ilvl w:val="0"/>
          <w:numId w:val="2"/>
        </w:numPr>
        <w:spacing w:line="360" w:lineRule="auto"/>
        <w:ind w:left="442" w:hanging="442"/>
        <w:jc w:val="left"/>
        <w:rPr>
          <w:rFonts w:ascii="Times New Roman" w:hAnsi="Times New Roman" w:eastAsia="宋体" w:cs="Times New Roman"/>
          <w:sz w:val="24"/>
          <w:szCs w:val="20"/>
        </w:rPr>
      </w:pPr>
      <w:bookmarkStart w:id="27" w:name="_Ref32348"/>
      <w:r>
        <w:rPr>
          <w:rFonts w:ascii="Times New Roman" w:hAnsi="Times New Roman" w:eastAsia="宋体" w:cs="Times New Roman"/>
          <w:sz w:val="24"/>
          <w:szCs w:val="20"/>
        </w:rPr>
        <w:t>B. Li, Z. Fei and Y. Zhang, "UAV Communications for 5G and Beyond: Recent Advances and Future Trends," in IEEE Internet of Things Journal, vol. 6, no. 2, pp. 2241-2263, April 2019, doi: 10.1109/JIOT.2018.2887086.</w:t>
      </w:r>
      <w:bookmarkEnd w:id="27"/>
    </w:p>
    <w:p w14:paraId="7A25BA5C">
      <w:pPr>
        <w:numPr>
          <w:ilvl w:val="0"/>
          <w:numId w:val="2"/>
        </w:numPr>
        <w:spacing w:line="360" w:lineRule="auto"/>
        <w:ind w:left="442" w:hanging="442"/>
        <w:jc w:val="left"/>
        <w:rPr>
          <w:rFonts w:ascii="Times New Roman" w:hAnsi="Times New Roman" w:eastAsia="宋体" w:cs="Times New Roman"/>
          <w:sz w:val="24"/>
          <w:szCs w:val="20"/>
        </w:rPr>
      </w:pPr>
      <w:bookmarkStart w:id="28" w:name="_Ref752"/>
      <w:r>
        <w:rPr>
          <w:rFonts w:ascii="Times New Roman" w:hAnsi="Times New Roman" w:eastAsia="宋体" w:cs="Times New Roman"/>
          <w:sz w:val="24"/>
          <w:szCs w:val="20"/>
        </w:rPr>
        <w:t>顾昕仪. 基于多信道跳频的无人机Ad Hoc网络传输容量优化研究[D]. 黑龙江:哈尔滨工业大学,2020.</w:t>
      </w:r>
      <w:bookmarkEnd w:id="28"/>
    </w:p>
    <w:p w14:paraId="146B6452">
      <w:pPr>
        <w:numPr>
          <w:ilvl w:val="0"/>
          <w:numId w:val="2"/>
        </w:numPr>
        <w:spacing w:line="360" w:lineRule="auto"/>
        <w:ind w:left="442" w:hanging="442"/>
        <w:jc w:val="left"/>
        <w:rPr>
          <w:rFonts w:ascii="Times New Roman" w:hAnsi="Times New Roman" w:eastAsia="宋体" w:cs="Times New Roman"/>
          <w:sz w:val="24"/>
          <w:szCs w:val="20"/>
        </w:rPr>
      </w:pPr>
      <w:bookmarkStart w:id="29" w:name="_Ref32570"/>
      <w:r>
        <w:rPr>
          <w:rFonts w:ascii="Times New Roman" w:hAnsi="Times New Roman" w:eastAsia="宋体" w:cs="Times New Roman"/>
          <w:sz w:val="24"/>
          <w:szCs w:val="20"/>
        </w:rPr>
        <w:t>Aoki K ,Honda K .Measurement and Analysis of the Rician K-Factor for Low-Altitude UAV Air-to-Ground Communications at 2.5 GHz[J].Drones,2025,9(2):86-86.DOI:10.3390/DRONES9020086.</w:t>
      </w:r>
      <w:bookmarkEnd w:id="29"/>
    </w:p>
    <w:p w14:paraId="76F44BDE">
      <w:pPr>
        <w:numPr>
          <w:ilvl w:val="0"/>
          <w:numId w:val="2"/>
        </w:numPr>
        <w:spacing w:line="360" w:lineRule="auto"/>
        <w:ind w:left="442" w:hanging="442"/>
        <w:jc w:val="left"/>
        <w:rPr>
          <w:rFonts w:ascii="Times New Roman" w:hAnsi="Times New Roman" w:eastAsia="宋体" w:cs="Times New Roman"/>
          <w:sz w:val="24"/>
          <w:szCs w:val="20"/>
        </w:rPr>
      </w:pPr>
      <w:bookmarkStart w:id="30" w:name="_Ref152"/>
      <w:r>
        <w:rPr>
          <w:rFonts w:ascii="Times New Roman" w:hAnsi="Times New Roman" w:eastAsia="宋体" w:cs="Times New Roman"/>
          <w:sz w:val="24"/>
          <w:szCs w:val="20"/>
        </w:rPr>
        <w:t>GB/T 38058-2019 民用多旋翼无人机系统试验方法[S]. 北京: 中国标准出版社, 2019.</w:t>
      </w:r>
      <w:bookmarkEnd w:id="30"/>
    </w:p>
    <w:p w14:paraId="150F78B0">
      <w:pPr>
        <w:numPr>
          <w:ilvl w:val="0"/>
          <w:numId w:val="2"/>
        </w:numPr>
        <w:spacing w:line="360" w:lineRule="auto"/>
        <w:ind w:left="442" w:hanging="442"/>
        <w:jc w:val="left"/>
        <w:rPr>
          <w:rFonts w:ascii="Times New Roman" w:hAnsi="Times New Roman" w:eastAsia="宋体" w:cs="Times New Roman"/>
          <w:sz w:val="24"/>
          <w:szCs w:val="20"/>
        </w:rPr>
      </w:pPr>
      <w:bookmarkStart w:id="31" w:name="_Ref220"/>
      <w:r>
        <w:rPr>
          <w:rFonts w:ascii="Times New Roman" w:hAnsi="Times New Roman" w:eastAsia="宋体" w:cs="Times New Roman"/>
          <w:sz w:val="24"/>
          <w:szCs w:val="20"/>
        </w:rPr>
        <w:t>民航局. 基于无人机的民用航空飞行校验专用地空数据链系统通用技术应用指导意见(试行)[</w:t>
      </w:r>
      <w:r>
        <w:rPr>
          <w:rFonts w:hint="eastAsia" w:ascii="Times New Roman" w:hAnsi="Times New Roman" w:eastAsia="宋体" w:cs="Times New Roman"/>
          <w:sz w:val="24"/>
          <w:szCs w:val="20"/>
        </w:rPr>
        <w:t>Z</w:t>
      </w:r>
      <w:r>
        <w:rPr>
          <w:rFonts w:ascii="Times New Roman" w:hAnsi="Times New Roman" w:eastAsia="宋体" w:cs="Times New Roman"/>
          <w:sz w:val="24"/>
          <w:szCs w:val="20"/>
        </w:rPr>
        <w:t>]. 2022.</w:t>
      </w:r>
      <w:bookmarkEnd w:id="31"/>
    </w:p>
    <w:p w14:paraId="0D95C74A">
      <w:pPr>
        <w:numPr>
          <w:ilvl w:val="0"/>
          <w:numId w:val="2"/>
        </w:numPr>
        <w:spacing w:line="360" w:lineRule="auto"/>
        <w:ind w:left="442" w:hanging="442"/>
        <w:jc w:val="left"/>
        <w:rPr>
          <w:rFonts w:ascii="Times New Roman" w:hAnsi="Times New Roman" w:eastAsia="宋体" w:cs="Times New Roman"/>
          <w:sz w:val="24"/>
          <w:szCs w:val="20"/>
        </w:rPr>
      </w:pPr>
      <w:bookmarkStart w:id="32" w:name="_Ref266"/>
      <w:r>
        <w:rPr>
          <w:rFonts w:ascii="Times New Roman" w:hAnsi="Times New Roman" w:eastAsia="宋体" w:cs="Times New Roman"/>
          <w:sz w:val="24"/>
          <w:szCs w:val="20"/>
        </w:rPr>
        <w:t>中国航空学会. 无人机L/U双频数据链路性能试验方法</w:t>
      </w:r>
      <w:r>
        <w:rPr>
          <w:rFonts w:hint="eastAsia" w:ascii="Times New Roman" w:hAnsi="Times New Roman" w:eastAsia="宋体" w:cs="Times New Roman"/>
          <w:sz w:val="24"/>
          <w:szCs w:val="20"/>
        </w:rPr>
        <w:t xml:space="preserve"> </w:t>
      </w:r>
      <w:r>
        <w:rPr>
          <w:rFonts w:ascii="Times New Roman" w:hAnsi="Times New Roman" w:eastAsia="宋体" w:cs="Times New Roman"/>
          <w:sz w:val="24"/>
          <w:szCs w:val="20"/>
        </w:rPr>
        <w:t>T/CSAA</w:t>
      </w:r>
      <w:r>
        <w:rPr>
          <w:rFonts w:hint="eastAsia" w:ascii="Times New Roman" w:hAnsi="Times New Roman" w:eastAsia="宋体" w:cs="Times New Roman"/>
          <w:sz w:val="24"/>
          <w:szCs w:val="20"/>
        </w:rPr>
        <w:t xml:space="preserve"> </w:t>
      </w:r>
      <w:r>
        <w:rPr>
          <w:rFonts w:ascii="Times New Roman" w:hAnsi="Times New Roman" w:eastAsia="宋体" w:cs="Times New Roman"/>
          <w:sz w:val="24"/>
          <w:szCs w:val="20"/>
        </w:rPr>
        <w:t>20-2022[S]. 2022.</w:t>
      </w:r>
      <w:bookmarkEnd w:id="32"/>
    </w:p>
    <w:p w14:paraId="460B2312">
      <w:pPr>
        <w:numPr>
          <w:ilvl w:val="0"/>
          <w:numId w:val="2"/>
        </w:numPr>
        <w:spacing w:line="360" w:lineRule="auto"/>
        <w:ind w:left="442" w:hanging="442"/>
        <w:jc w:val="left"/>
        <w:rPr>
          <w:rFonts w:ascii="Times New Roman" w:hAnsi="Times New Roman" w:eastAsia="宋体" w:cs="Times New Roman"/>
          <w:sz w:val="24"/>
          <w:szCs w:val="20"/>
        </w:rPr>
      </w:pPr>
      <w:bookmarkStart w:id="33" w:name="_Ref325"/>
      <w:r>
        <w:rPr>
          <w:rFonts w:ascii="Times New Roman" w:hAnsi="Times New Roman" w:eastAsia="宋体" w:cs="Times New Roman"/>
          <w:sz w:val="24"/>
          <w:szCs w:val="20"/>
        </w:rPr>
        <w:t>GB 42590-2023 民用无人驾驶航空器系统安全要求[S]. 北京: 中国标准出版社, 2023.</w:t>
      </w:r>
      <w:bookmarkEnd w:id="33"/>
    </w:p>
    <w:p w14:paraId="344D446E">
      <w:pPr>
        <w:numPr>
          <w:ilvl w:val="0"/>
          <w:numId w:val="2"/>
        </w:numPr>
        <w:spacing w:line="360" w:lineRule="auto"/>
        <w:ind w:left="442" w:hanging="442"/>
        <w:jc w:val="left"/>
        <w:rPr>
          <w:rFonts w:ascii="Times New Roman" w:hAnsi="Times New Roman" w:eastAsia="宋体" w:cs="Times New Roman"/>
          <w:sz w:val="24"/>
          <w:szCs w:val="20"/>
        </w:rPr>
      </w:pPr>
      <w:bookmarkStart w:id="34" w:name="_Ref67"/>
      <w:r>
        <w:rPr>
          <w:rFonts w:ascii="Times New Roman" w:hAnsi="Times New Roman" w:eastAsia="宋体" w:cs="Times New Roman"/>
          <w:sz w:val="24"/>
          <w:szCs w:val="20"/>
        </w:rPr>
        <w:t>3GPP TR 36.777 Study on Enhanced LTE Support for Aerial Vehicles (Release 15)[S]. 2018.</w:t>
      </w:r>
      <w:bookmarkEnd w:id="34"/>
    </w:p>
    <w:p w14:paraId="1346F01A">
      <w:pPr>
        <w:numPr>
          <w:ilvl w:val="0"/>
          <w:numId w:val="2"/>
        </w:numPr>
        <w:spacing w:line="360" w:lineRule="auto"/>
        <w:ind w:left="442" w:hanging="442"/>
        <w:jc w:val="left"/>
        <w:rPr>
          <w:rFonts w:ascii="Times New Roman" w:hAnsi="Times New Roman" w:eastAsia="宋体" w:cs="Times New Roman"/>
          <w:sz w:val="24"/>
          <w:szCs w:val="20"/>
        </w:rPr>
      </w:pPr>
      <w:bookmarkStart w:id="35" w:name="_Ref32691"/>
      <w:r>
        <w:rPr>
          <w:rFonts w:ascii="Times New Roman" w:hAnsi="Times New Roman" w:eastAsia="宋体" w:cs="Times New Roman"/>
          <w:sz w:val="24"/>
          <w:szCs w:val="20"/>
        </w:rPr>
        <w:t>MAVLink Developer Team. MAVLink Common Message Set[EB/OL]. 2024.</w:t>
      </w:r>
      <w:bookmarkEnd w:id="35"/>
    </w:p>
    <w:p w14:paraId="2375DB81">
      <w:pPr>
        <w:numPr>
          <w:ilvl w:val="0"/>
          <w:numId w:val="2"/>
        </w:numPr>
        <w:spacing w:line="360" w:lineRule="auto"/>
        <w:ind w:left="442" w:hanging="442"/>
        <w:jc w:val="left"/>
        <w:rPr>
          <w:rFonts w:ascii="Times New Roman" w:hAnsi="Times New Roman" w:eastAsia="宋体" w:cs="Times New Roman"/>
          <w:sz w:val="24"/>
          <w:szCs w:val="20"/>
        </w:rPr>
      </w:pPr>
      <w:bookmarkStart w:id="36" w:name="_Ref671"/>
      <w:r>
        <w:rPr>
          <w:rFonts w:ascii="Times New Roman" w:hAnsi="Times New Roman" w:eastAsia="宋体" w:cs="Times New Roman"/>
          <w:sz w:val="24"/>
          <w:szCs w:val="20"/>
        </w:rPr>
        <w:t>李其超,周逊,宋威威,等.一种高效可靠的无人机自组网多跳TDMA协议[J].电讯技术,2020,60(02):189-195.DOI:CNKI:SUN:DATE.0.2020-02-013.</w:t>
      </w:r>
      <w:bookmarkEnd w:id="36"/>
    </w:p>
    <w:p w14:paraId="7B72B755">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Mobasshir Mahbub, Mir Md. Saym, Sarwar Jahan, Anup Kumar Paul, Alireza Vahid, Seyyedali Hosseinalipour, Bobby Barua, Hen-Geul Yeh, Raed M. Shubair, Tarik Taleb, Aryan Kaushik, Mohammed H. Alsharif, M. Shariful Islam, Russel Reza Mahmud, Dusit Niyato,</w:t>
      </w:r>
    </w:p>
    <w:p w14:paraId="7AF01F0D">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UAV-Assisted Wireless Communications in the 6G-and-Beyond Era: An Extensive Survey on Characteristics, Standardization and Regulations, Enabling Technologies, Challenges, and Future Directions,VehicularCommunications,2025,100977,ISSN2214-2096,https://doi.org/10.1016/j.vehcom.2025.100977.</w:t>
      </w:r>
    </w:p>
    <w:p w14:paraId="68E43A91">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张惠婷,张然,刘敏提,等.基于深度强化学习的无人机通信抗干扰算法[J].兵器装备工程学报,2022,43(10):27-34.</w:t>
      </w:r>
    </w:p>
    <w:p w14:paraId="16A7CED4">
      <w:pPr>
        <w:numPr>
          <w:ilvl w:val="0"/>
          <w:numId w:val="2"/>
        </w:numPr>
        <w:spacing w:line="360" w:lineRule="auto"/>
        <w:ind w:left="442" w:hanging="442"/>
        <w:jc w:val="left"/>
        <w:rPr>
          <w:rFonts w:ascii="Times New Roman" w:hAnsi="Times New Roman" w:eastAsia="宋体" w:cs="Times New Roman"/>
          <w:sz w:val="24"/>
          <w:szCs w:val="20"/>
        </w:rPr>
      </w:pPr>
      <w:bookmarkStart w:id="37" w:name="_Ref870"/>
      <w:r>
        <w:rPr>
          <w:rFonts w:ascii="Times New Roman" w:hAnsi="Times New Roman" w:eastAsia="宋体" w:cs="Times New Roman"/>
          <w:sz w:val="24"/>
          <w:szCs w:val="20"/>
        </w:rPr>
        <w:t>张琰.基于深度强化学习的无人机通信抗干扰方法研究[D].西安电子科技大学,2024.DOI:10.27389/d.cnki.gxadu.2024.002842.</w:t>
      </w:r>
      <w:bookmarkEnd w:id="37"/>
    </w:p>
    <w:p w14:paraId="3EB6620C">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林紫涵.基于强化学习的无人机通信抗干扰技术研究[D].厦门大学,2022.DOI:10.27424/d.cnki.gxmdu.2022.002160.</w:t>
      </w:r>
    </w:p>
    <w:p w14:paraId="75DC47B0">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P. Du, T. Xiao, C. Chakraborty, H. Cao, O. Alfarraj and K. Yu, "Energy-Efficient Drones and BS Management in Distributed Edge Intelligence Empowered IoV Networks," in IEEE Internet of Things Journal, vol. 12, no. 5, pp. 4667-4680, 1 March1, 2025, doi: 10.1109/JIOT.2024.3520954.</w:t>
      </w:r>
    </w:p>
    <w:p w14:paraId="1EB72945">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 xml:space="preserve">R. Wang, S. Wang and W. Zhang, "Cooperative Multi-UAV Dynamic Anti-Jamming Scheme with Deep Reinforcement Learning," 2022 IEEE 22nd International Conference on Communication Technology (ICCT), Nanjing, China, 2022, pp. 590-595, doi: 10.1109/ICCT56141.2022.10073317. </w:t>
      </w:r>
    </w:p>
    <w:p w14:paraId="73B6F921">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L. Xiao, H. Li, S. Yu, Y. Zhang, L. -C. Wang and S. Ma, "Reinforcement Learning Based Network Coding for Drone-Aided Secure Wireless Communications," in IEEE Transactions on Communications, vol. 70, no. 9, pp. 5975-5988, Sept. 2022, doi: 10.1109/TCOMM.2022.3194074.</w:t>
      </w:r>
    </w:p>
    <w:p w14:paraId="4D80689D">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 xml:space="preserve">S. A. E. Faouz, A. Souri and N. İnanç, "LSTM-based Deep Learning Model for Cyber-attack Detection Systems in the Internet of Drones," 2024 15th International Conference on Computing Communication and Networking Technologies (ICCCNT), Kamand, India, 2024, pp. 1-6, doi: 10.1109/ICCCNT61001.2024.10726101. </w:t>
      </w:r>
    </w:p>
    <w:p w14:paraId="523A322A">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J. Chen and C. Zhang, "A UAV Communication System with Anti-Interference and Covert Communication Capabilities Using Two Antennas," 2024 AIAA DATC/IEEE 43rd Digital Avionics Systems Conference (DASC), San Diego, CA, USA, 2024, pp. 1-4, doi: 10.1109/DASC62030.2024.10748965.</w:t>
      </w:r>
    </w:p>
    <w:p w14:paraId="1DA35B03">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 xml:space="preserve">D. Zhongkai, L. Ying, M. Weiping and Z. Weiya, "Power Inspection UAV Communication Frequency Band Selection and Interference Suppression Technology," 2024 International Conference on Control, Electronic Engineering and Machine Learning (CEEML), Kuala Lumpur, Malaysia, 2024, pp. 105-110, doi: 10.1109/CEEML65709.2024.00022. </w:t>
      </w:r>
    </w:p>
    <w:p w14:paraId="1EE74F32">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H. Su, S. Xu, B. Rang, L. Wu, H. Xu and Z. Dong, "Evaluation on Interference Cancellation Enhancement Solution for UAV Communication," 2025 IEEE International Symposium on Broadband Multimedia Systems and Broadcasting (BMSB), Dublin, Ireland, 2025, pp. 1-6, doi: 10.1109/BMSB65076.2025.11165704.</w:t>
      </w:r>
    </w:p>
    <w:p w14:paraId="2AD5E11F">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 xml:space="preserve">L. Wang, "Multi UAV Communication Strategy Based on UWB Technology," 2025 5th International Conference on Neural Networks, Information and Communication Engineering (NNICE), Guangzhou, China, 2025, pp. 924-927, doi: 10.1109/NNICE64954.2025.11063864. </w:t>
      </w:r>
    </w:p>
    <w:p w14:paraId="6A2A1F53">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 xml:space="preserve">Y. Xu et al., "Joint Power and Trajectory Optimization in UAV Anti-Jamming Communication Networks," ICC 2019 - 2019 IEEE International Conference on Communications (ICC), Shanghai, China, 2019, pp. 1-5, doi: 10.1109/ICC.2019.8761467. </w:t>
      </w:r>
    </w:p>
    <w:p w14:paraId="6D00B4C7">
      <w:pPr>
        <w:numPr>
          <w:ilvl w:val="0"/>
          <w:numId w:val="2"/>
        </w:numPr>
        <w:spacing w:line="360" w:lineRule="auto"/>
        <w:ind w:left="442" w:hanging="442"/>
        <w:jc w:val="left"/>
        <w:rPr>
          <w:rFonts w:ascii="Times New Roman" w:hAnsi="Times New Roman" w:eastAsia="宋体" w:cs="Times New Roman"/>
          <w:sz w:val="24"/>
          <w:szCs w:val="20"/>
        </w:rPr>
      </w:pPr>
      <w:r>
        <w:rPr>
          <w:rFonts w:ascii="Times New Roman" w:hAnsi="Times New Roman" w:eastAsia="宋体" w:cs="Times New Roman"/>
          <w:sz w:val="24"/>
          <w:szCs w:val="20"/>
        </w:rPr>
        <w:t>F. Du, J. Li, Y. Lin, Z. Wang and Y. Qian, "Mean-Field Multi-Agent Reinforcement Learning for Adaptive Anti-Jamming Channel Selection in UAV Communications," 2022 14th International Conference on Wireless Communications and Signal Processing (WCSP), Nanjing, China, 2022, pp. 910-915, doi: 10.1109/WCSP55476.2022.10039304.3</w:t>
      </w:r>
    </w:p>
    <w:p w14:paraId="4F241946">
      <w:pPr>
        <w:spacing w:before="156" w:beforeLines="50"/>
        <w:jc w:val="left"/>
      </w:pPr>
    </w:p>
    <w:tbl>
      <w:tblPr>
        <w:tblStyle w:val="8"/>
        <w:tblW w:w="90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59FD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3" w:hRule="atLeast"/>
        </w:trPr>
        <w:tc>
          <w:tcPr>
            <w:tcW w:w="9072" w:type="dxa"/>
          </w:tcPr>
          <w:p w14:paraId="36EA6A52">
            <w:pPr>
              <w:spacing w:before="156" w:beforeLines="50"/>
              <w:jc w:val="left"/>
            </w:pPr>
            <w:r>
              <w:rPr>
                <w:rFonts w:hint="eastAsia"/>
              </w:rPr>
              <w:t>开题答辩记录（专家点评、学生回答等）：</w:t>
            </w:r>
          </w:p>
        </w:tc>
      </w:tr>
    </w:tbl>
    <w:p w14:paraId="7326BEE4">
      <w:pPr>
        <w:jc w:val="left"/>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1407"/>
        <w:gridCol w:w="1559"/>
        <w:gridCol w:w="3874"/>
      </w:tblGrid>
      <w:tr w14:paraId="530EE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1" w:hRule="atLeast"/>
          <w:jc w:val="center"/>
        </w:trPr>
        <w:tc>
          <w:tcPr>
            <w:tcW w:w="9119" w:type="dxa"/>
            <w:gridSpan w:val="4"/>
          </w:tcPr>
          <w:p w14:paraId="30761BAD">
            <w:pPr>
              <w:spacing w:line="300" w:lineRule="exact"/>
              <w:jc w:val="left"/>
            </w:pPr>
            <w:r>
              <w:rPr>
                <w:rFonts w:hint="eastAsia"/>
              </w:rPr>
              <w:t>导师对开题报告（就研究生对国内外研究现状的了解情况、研究方法、研究手段等）及论文工作计划的评语：</w:t>
            </w:r>
          </w:p>
          <w:p w14:paraId="3E109696">
            <w:pPr>
              <w:spacing w:line="300" w:lineRule="exact"/>
              <w:jc w:val="left"/>
            </w:pPr>
          </w:p>
          <w:p w14:paraId="2682B932">
            <w:pPr>
              <w:spacing w:line="300" w:lineRule="exact"/>
              <w:ind w:firstLine="420" w:firstLineChars="200"/>
              <w:jc w:val="left"/>
              <w:rPr>
                <w:rFonts w:hint="eastAsia"/>
              </w:rPr>
            </w:pPr>
            <w:r>
              <w:rPr>
                <w:rFonts w:hint="eastAsia"/>
                <w:highlight w:val="yellow"/>
              </w:rPr>
              <w:t>对选题相关的国内外研究现状进行了比较全面的调研和分析，研究方法与手段可行，论文工作计划安排合理。</w:t>
            </w:r>
          </w:p>
          <w:p w14:paraId="18F9FAC1">
            <w:pPr>
              <w:spacing w:line="300" w:lineRule="exact"/>
              <w:jc w:val="left"/>
            </w:pPr>
          </w:p>
          <w:p w14:paraId="49156A78">
            <w:pPr>
              <w:spacing w:line="300" w:lineRule="exact"/>
              <w:jc w:val="left"/>
            </w:pPr>
          </w:p>
          <w:p w14:paraId="55A26BD0">
            <w:pPr>
              <w:spacing w:line="300" w:lineRule="exact"/>
              <w:jc w:val="left"/>
            </w:pPr>
            <w:r>
              <w:rPr>
                <w:rFonts w:hint="eastAsia"/>
              </w:rPr>
              <w:t xml:space="preserve">                               </w:t>
            </w:r>
            <w:r>
              <w:t xml:space="preserve">    </w:t>
            </w:r>
            <w:r>
              <w:rPr>
                <w:rFonts w:hint="eastAsia"/>
              </w:rPr>
              <w:t>导师签名：</w:t>
            </w:r>
            <w:r>
              <w:rPr>
                <w:rFonts w:hint="eastAsia"/>
                <w:u w:val="single"/>
              </w:rPr>
              <w:t xml:space="preserve">         </w:t>
            </w:r>
            <w:r>
              <w:rPr>
                <w:rFonts w:hint="eastAsia"/>
              </w:rPr>
              <w:t xml:space="preserve">               年    月    日</w:t>
            </w:r>
          </w:p>
        </w:tc>
      </w:tr>
      <w:tr w14:paraId="1C39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9119" w:type="dxa"/>
            <w:gridSpan w:val="4"/>
          </w:tcPr>
          <w:p w14:paraId="7E79A848">
            <w:pPr>
              <w:spacing w:line="300" w:lineRule="exact"/>
              <w:jc w:val="center"/>
            </w:pPr>
            <w:r>
              <w:rPr>
                <w:rFonts w:hint="eastAsia"/>
              </w:rPr>
              <w:t>开题报告专家组成员审核表</w:t>
            </w:r>
          </w:p>
        </w:tc>
      </w:tr>
      <w:tr w14:paraId="58C1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279" w:type="dxa"/>
          </w:tcPr>
          <w:p w14:paraId="73502DAF">
            <w:pPr>
              <w:spacing w:line="300" w:lineRule="exact"/>
              <w:jc w:val="center"/>
            </w:pPr>
            <w:r>
              <w:rPr>
                <w:rFonts w:hint="eastAsia"/>
              </w:rPr>
              <w:t>主席</w:t>
            </w:r>
          </w:p>
        </w:tc>
        <w:tc>
          <w:tcPr>
            <w:tcW w:w="1407" w:type="dxa"/>
            <w:vAlign w:val="center"/>
          </w:tcPr>
          <w:p w14:paraId="65F58151">
            <w:pPr>
              <w:spacing w:line="300" w:lineRule="exact"/>
              <w:jc w:val="center"/>
              <w:rPr>
                <w:szCs w:val="21"/>
              </w:rPr>
            </w:pPr>
            <w:r>
              <w:rPr>
                <w:rFonts w:hint="eastAsia"/>
                <w:szCs w:val="21"/>
              </w:rPr>
              <w:t>姓名</w:t>
            </w:r>
          </w:p>
        </w:tc>
        <w:tc>
          <w:tcPr>
            <w:tcW w:w="1559" w:type="dxa"/>
            <w:vAlign w:val="center"/>
          </w:tcPr>
          <w:p w14:paraId="166EEC40">
            <w:pPr>
              <w:spacing w:line="300" w:lineRule="exact"/>
              <w:jc w:val="center"/>
              <w:rPr>
                <w:szCs w:val="21"/>
              </w:rPr>
            </w:pPr>
            <w:r>
              <w:rPr>
                <w:rFonts w:hint="eastAsia"/>
                <w:szCs w:val="21"/>
              </w:rPr>
              <w:t>职称</w:t>
            </w:r>
          </w:p>
        </w:tc>
        <w:tc>
          <w:tcPr>
            <w:tcW w:w="3874" w:type="dxa"/>
            <w:vAlign w:val="center"/>
          </w:tcPr>
          <w:p w14:paraId="386A1556">
            <w:pPr>
              <w:spacing w:line="300" w:lineRule="exact"/>
              <w:jc w:val="center"/>
              <w:rPr>
                <w:szCs w:val="21"/>
              </w:rPr>
            </w:pPr>
            <w:r>
              <w:rPr>
                <w:rFonts w:hint="eastAsia"/>
                <w:szCs w:val="21"/>
              </w:rPr>
              <w:t>所在单位</w:t>
            </w:r>
          </w:p>
        </w:tc>
      </w:tr>
      <w:tr w14:paraId="4B15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279" w:type="dxa"/>
            <w:vMerge w:val="restart"/>
            <w:vAlign w:val="center"/>
          </w:tcPr>
          <w:p w14:paraId="0E73CF98">
            <w:pPr>
              <w:spacing w:line="300" w:lineRule="exact"/>
              <w:jc w:val="center"/>
            </w:pPr>
            <w:r>
              <w:rPr>
                <w:rFonts w:hint="eastAsia"/>
              </w:rPr>
              <w:t>成员</w:t>
            </w:r>
          </w:p>
        </w:tc>
        <w:tc>
          <w:tcPr>
            <w:tcW w:w="1407" w:type="dxa"/>
          </w:tcPr>
          <w:p w14:paraId="0BEFC4C7">
            <w:pPr>
              <w:spacing w:line="300" w:lineRule="exact"/>
              <w:jc w:val="left"/>
            </w:pPr>
          </w:p>
        </w:tc>
        <w:tc>
          <w:tcPr>
            <w:tcW w:w="1559" w:type="dxa"/>
          </w:tcPr>
          <w:p w14:paraId="085CAF82">
            <w:pPr>
              <w:spacing w:line="300" w:lineRule="exact"/>
              <w:jc w:val="left"/>
            </w:pPr>
          </w:p>
        </w:tc>
        <w:tc>
          <w:tcPr>
            <w:tcW w:w="3874" w:type="dxa"/>
          </w:tcPr>
          <w:p w14:paraId="66C5BDF4">
            <w:pPr>
              <w:spacing w:line="300" w:lineRule="exact"/>
              <w:jc w:val="left"/>
            </w:pPr>
          </w:p>
        </w:tc>
      </w:tr>
      <w:tr w14:paraId="6AFB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279" w:type="dxa"/>
            <w:vMerge w:val="continue"/>
          </w:tcPr>
          <w:p w14:paraId="06A6D8AC">
            <w:pPr>
              <w:spacing w:line="300" w:lineRule="exact"/>
              <w:jc w:val="center"/>
            </w:pPr>
          </w:p>
        </w:tc>
        <w:tc>
          <w:tcPr>
            <w:tcW w:w="1407" w:type="dxa"/>
          </w:tcPr>
          <w:p w14:paraId="49D2F9FA">
            <w:pPr>
              <w:spacing w:line="300" w:lineRule="exact"/>
              <w:jc w:val="left"/>
            </w:pPr>
          </w:p>
        </w:tc>
        <w:tc>
          <w:tcPr>
            <w:tcW w:w="1559" w:type="dxa"/>
          </w:tcPr>
          <w:p w14:paraId="3DCCCE34">
            <w:pPr>
              <w:spacing w:line="300" w:lineRule="exact"/>
              <w:jc w:val="left"/>
            </w:pPr>
          </w:p>
        </w:tc>
        <w:tc>
          <w:tcPr>
            <w:tcW w:w="3874" w:type="dxa"/>
          </w:tcPr>
          <w:p w14:paraId="750F6752">
            <w:pPr>
              <w:spacing w:line="300" w:lineRule="exact"/>
              <w:jc w:val="left"/>
            </w:pPr>
          </w:p>
        </w:tc>
      </w:tr>
      <w:tr w14:paraId="792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279" w:type="dxa"/>
            <w:vMerge w:val="continue"/>
          </w:tcPr>
          <w:p w14:paraId="53DFD717">
            <w:pPr>
              <w:spacing w:line="300" w:lineRule="exact"/>
              <w:jc w:val="center"/>
            </w:pPr>
          </w:p>
        </w:tc>
        <w:tc>
          <w:tcPr>
            <w:tcW w:w="1407" w:type="dxa"/>
          </w:tcPr>
          <w:p w14:paraId="4D4B74AE">
            <w:pPr>
              <w:spacing w:line="300" w:lineRule="exact"/>
              <w:jc w:val="left"/>
            </w:pPr>
          </w:p>
        </w:tc>
        <w:tc>
          <w:tcPr>
            <w:tcW w:w="1559" w:type="dxa"/>
          </w:tcPr>
          <w:p w14:paraId="62C8238E">
            <w:pPr>
              <w:spacing w:line="300" w:lineRule="exact"/>
              <w:jc w:val="left"/>
            </w:pPr>
          </w:p>
        </w:tc>
        <w:tc>
          <w:tcPr>
            <w:tcW w:w="3874" w:type="dxa"/>
          </w:tcPr>
          <w:p w14:paraId="3308F174">
            <w:pPr>
              <w:spacing w:line="300" w:lineRule="exact"/>
              <w:jc w:val="left"/>
            </w:pPr>
          </w:p>
        </w:tc>
      </w:tr>
      <w:tr w14:paraId="3C88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279" w:type="dxa"/>
            <w:vMerge w:val="continue"/>
          </w:tcPr>
          <w:p w14:paraId="69C01AEF">
            <w:pPr>
              <w:spacing w:line="300" w:lineRule="exact"/>
              <w:jc w:val="center"/>
            </w:pPr>
          </w:p>
        </w:tc>
        <w:tc>
          <w:tcPr>
            <w:tcW w:w="1407" w:type="dxa"/>
          </w:tcPr>
          <w:p w14:paraId="09D64188">
            <w:pPr>
              <w:spacing w:line="300" w:lineRule="exact"/>
              <w:jc w:val="left"/>
            </w:pPr>
          </w:p>
        </w:tc>
        <w:tc>
          <w:tcPr>
            <w:tcW w:w="1559" w:type="dxa"/>
          </w:tcPr>
          <w:p w14:paraId="7B9CB7CC">
            <w:pPr>
              <w:spacing w:line="300" w:lineRule="exact"/>
              <w:jc w:val="left"/>
            </w:pPr>
          </w:p>
        </w:tc>
        <w:tc>
          <w:tcPr>
            <w:tcW w:w="3874" w:type="dxa"/>
          </w:tcPr>
          <w:p w14:paraId="4644128E">
            <w:pPr>
              <w:spacing w:line="300" w:lineRule="exact"/>
              <w:jc w:val="left"/>
            </w:pPr>
          </w:p>
        </w:tc>
      </w:tr>
      <w:tr w14:paraId="6DF1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279" w:type="dxa"/>
            <w:vMerge w:val="continue"/>
          </w:tcPr>
          <w:p w14:paraId="650AE4E7">
            <w:pPr>
              <w:spacing w:line="300" w:lineRule="exact"/>
              <w:jc w:val="center"/>
            </w:pPr>
          </w:p>
        </w:tc>
        <w:tc>
          <w:tcPr>
            <w:tcW w:w="1407" w:type="dxa"/>
          </w:tcPr>
          <w:p w14:paraId="6DFC563F">
            <w:pPr>
              <w:spacing w:line="300" w:lineRule="exact"/>
              <w:jc w:val="left"/>
            </w:pPr>
          </w:p>
        </w:tc>
        <w:tc>
          <w:tcPr>
            <w:tcW w:w="1559" w:type="dxa"/>
          </w:tcPr>
          <w:p w14:paraId="0485910C">
            <w:pPr>
              <w:spacing w:line="300" w:lineRule="exact"/>
              <w:jc w:val="left"/>
            </w:pPr>
          </w:p>
        </w:tc>
        <w:tc>
          <w:tcPr>
            <w:tcW w:w="3874" w:type="dxa"/>
          </w:tcPr>
          <w:p w14:paraId="131A2B0A">
            <w:pPr>
              <w:spacing w:line="300" w:lineRule="exact"/>
              <w:jc w:val="left"/>
              <w:rPr>
                <w:color w:val="FF0000"/>
              </w:rPr>
            </w:pPr>
          </w:p>
        </w:tc>
      </w:tr>
      <w:tr w14:paraId="2620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2" w:hRule="atLeast"/>
          <w:jc w:val="center"/>
        </w:trPr>
        <w:tc>
          <w:tcPr>
            <w:tcW w:w="9119" w:type="dxa"/>
            <w:gridSpan w:val="4"/>
          </w:tcPr>
          <w:p w14:paraId="738BD185">
            <w:pPr>
              <w:spacing w:line="300" w:lineRule="exact"/>
              <w:jc w:val="left"/>
            </w:pPr>
            <w:r>
              <w:rPr>
                <w:rFonts w:hint="eastAsia"/>
              </w:rPr>
              <w:t>考核小组对开题报告开题答辩的意见：（论文工作是否具备条件、是否同意选定该课题等）</w:t>
            </w:r>
          </w:p>
          <w:p w14:paraId="55F1C6FD">
            <w:pPr>
              <w:spacing w:line="300" w:lineRule="exact"/>
              <w:jc w:val="left"/>
            </w:pPr>
          </w:p>
          <w:p w14:paraId="376BB280">
            <w:pPr>
              <w:spacing w:line="300" w:lineRule="exact"/>
              <w:jc w:val="left"/>
            </w:pPr>
          </w:p>
          <w:p w14:paraId="39ABA321">
            <w:pPr>
              <w:spacing w:line="300" w:lineRule="exact"/>
              <w:jc w:val="left"/>
            </w:pPr>
          </w:p>
          <w:p w14:paraId="089DFF89">
            <w:pPr>
              <w:spacing w:line="300" w:lineRule="exact"/>
              <w:jc w:val="left"/>
            </w:pPr>
          </w:p>
          <w:p w14:paraId="3060D661">
            <w:pPr>
              <w:spacing w:line="300" w:lineRule="exact"/>
              <w:jc w:val="left"/>
            </w:pPr>
          </w:p>
          <w:p w14:paraId="0E0D1624">
            <w:pPr>
              <w:spacing w:line="300" w:lineRule="exact"/>
              <w:jc w:val="left"/>
            </w:pPr>
          </w:p>
          <w:p w14:paraId="271720D2">
            <w:pPr>
              <w:spacing w:line="300" w:lineRule="exact"/>
              <w:jc w:val="left"/>
            </w:pPr>
          </w:p>
          <w:p w14:paraId="3D52E58A">
            <w:pPr>
              <w:spacing w:line="300" w:lineRule="exact"/>
              <w:jc w:val="left"/>
            </w:pPr>
            <w:r>
              <w:rPr>
                <w:rFonts w:hint="eastAsia"/>
              </w:rPr>
              <w:t xml:space="preserve">                                   开题成绩：</w:t>
            </w:r>
            <w:r>
              <w:rPr>
                <w:rFonts w:hint="eastAsia"/>
                <w:u w:val="single"/>
              </w:rPr>
              <w:t xml:space="preserve">          </w:t>
            </w:r>
            <w:r>
              <w:rPr>
                <w:rFonts w:hint="eastAsia"/>
              </w:rPr>
              <w:t xml:space="preserve"> （百分制）   年    月    日</w:t>
            </w:r>
          </w:p>
          <w:p w14:paraId="303CC363">
            <w:pPr>
              <w:spacing w:line="300" w:lineRule="exact"/>
              <w:jc w:val="left"/>
            </w:pPr>
          </w:p>
        </w:tc>
      </w:tr>
      <w:tr w14:paraId="63AF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0" w:hRule="atLeast"/>
          <w:jc w:val="center"/>
        </w:trPr>
        <w:tc>
          <w:tcPr>
            <w:tcW w:w="9119" w:type="dxa"/>
            <w:gridSpan w:val="4"/>
          </w:tcPr>
          <w:p w14:paraId="49141C2E">
            <w:pPr>
              <w:spacing w:line="300" w:lineRule="exact"/>
              <w:jc w:val="left"/>
            </w:pPr>
            <w:r>
              <w:rPr>
                <w:rFonts w:hint="eastAsia"/>
              </w:rPr>
              <w:t>学院学位分委会对该选题的意见：</w:t>
            </w:r>
          </w:p>
          <w:p w14:paraId="2389ECA6">
            <w:pPr>
              <w:spacing w:line="300" w:lineRule="exact"/>
              <w:jc w:val="left"/>
            </w:pPr>
          </w:p>
          <w:p w14:paraId="7D487145">
            <w:pPr>
              <w:spacing w:line="300" w:lineRule="exact"/>
              <w:jc w:val="left"/>
            </w:pPr>
          </w:p>
          <w:p w14:paraId="5F2E6385">
            <w:pPr>
              <w:spacing w:line="300" w:lineRule="exact"/>
              <w:jc w:val="left"/>
            </w:pPr>
          </w:p>
          <w:p w14:paraId="11ACBE1C">
            <w:pPr>
              <w:spacing w:line="300" w:lineRule="exact"/>
              <w:jc w:val="left"/>
            </w:pPr>
          </w:p>
          <w:p w14:paraId="2B05F504">
            <w:pPr>
              <w:spacing w:line="300" w:lineRule="exact"/>
              <w:jc w:val="left"/>
            </w:pPr>
            <w:r>
              <w:rPr>
                <w:rFonts w:hint="eastAsia"/>
              </w:rPr>
              <w:t xml:space="preserve">                                 </w:t>
            </w:r>
            <w:r>
              <w:t xml:space="preserve">     </w:t>
            </w:r>
            <w:r>
              <w:rPr>
                <w:rFonts w:hint="eastAsia"/>
              </w:rPr>
              <w:t>签名：</w:t>
            </w:r>
            <w:r>
              <w:rPr>
                <w:rFonts w:hint="eastAsia"/>
                <w:u w:val="single"/>
              </w:rPr>
              <w:t xml:space="preserve">     </w:t>
            </w:r>
            <w:r>
              <w:rPr>
                <w:u w:val="single"/>
              </w:rPr>
              <w:t xml:space="preserve"> </w:t>
            </w:r>
            <w:r>
              <w:rPr>
                <w:rFonts w:hint="eastAsia"/>
                <w:u w:val="single"/>
              </w:rPr>
              <w:t xml:space="preserve">     </w:t>
            </w:r>
            <w:r>
              <w:rPr>
                <w:rFonts w:hint="eastAsia"/>
              </w:rPr>
              <w:t xml:space="preserve">              年    月    日</w:t>
            </w:r>
          </w:p>
          <w:p w14:paraId="1E9560D0">
            <w:pPr>
              <w:spacing w:line="300" w:lineRule="exact"/>
              <w:jc w:val="left"/>
            </w:pPr>
          </w:p>
        </w:tc>
      </w:tr>
      <w:tr w14:paraId="2201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8" w:hRule="atLeast"/>
          <w:jc w:val="center"/>
        </w:trPr>
        <w:tc>
          <w:tcPr>
            <w:tcW w:w="9119" w:type="dxa"/>
            <w:gridSpan w:val="4"/>
          </w:tcPr>
          <w:p w14:paraId="6B79AF30">
            <w:pPr>
              <w:spacing w:line="300" w:lineRule="exact"/>
              <w:jc w:val="left"/>
            </w:pPr>
            <w:r>
              <w:rPr>
                <w:rFonts w:hint="eastAsia"/>
              </w:rPr>
              <w:t>学院对开题报告和论文工作计划的意见：</w:t>
            </w:r>
          </w:p>
          <w:p w14:paraId="3642A459">
            <w:pPr>
              <w:spacing w:line="300" w:lineRule="exact"/>
              <w:jc w:val="left"/>
            </w:pPr>
          </w:p>
          <w:p w14:paraId="35A7B0FE">
            <w:pPr>
              <w:spacing w:line="300" w:lineRule="exact"/>
              <w:jc w:val="left"/>
            </w:pPr>
          </w:p>
          <w:p w14:paraId="7D3DBEC3">
            <w:pPr>
              <w:spacing w:line="300" w:lineRule="exact"/>
              <w:jc w:val="left"/>
            </w:pPr>
          </w:p>
          <w:p w14:paraId="44CC2B69">
            <w:pPr>
              <w:spacing w:line="300" w:lineRule="exact"/>
              <w:jc w:val="left"/>
            </w:pPr>
          </w:p>
          <w:p w14:paraId="67AA3CA0">
            <w:pPr>
              <w:spacing w:line="300" w:lineRule="exact"/>
              <w:jc w:val="left"/>
            </w:pPr>
            <w:r>
              <w:rPr>
                <w:rFonts w:hint="eastAsia"/>
              </w:rPr>
              <w:t xml:space="preserve">                                </w:t>
            </w:r>
          </w:p>
          <w:p w14:paraId="08E4AC08">
            <w:pPr>
              <w:spacing w:line="300" w:lineRule="exact"/>
              <w:ind w:firstLine="3465" w:firstLineChars="1650"/>
              <w:jc w:val="left"/>
            </w:pPr>
            <w:r>
              <w:rPr>
                <w:rFonts w:hint="eastAsia"/>
              </w:rPr>
              <w:t>负责人签名：</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年    月    日</w:t>
            </w:r>
          </w:p>
          <w:p w14:paraId="47A86395">
            <w:pPr>
              <w:spacing w:line="300" w:lineRule="exact"/>
              <w:ind w:firstLine="3465" w:firstLineChars="1650"/>
              <w:jc w:val="left"/>
            </w:pPr>
          </w:p>
        </w:tc>
      </w:tr>
    </w:tbl>
    <w:p w14:paraId="1F30C412">
      <w:pPr>
        <w:jc w:val="left"/>
      </w:pPr>
    </w:p>
    <w:sectPr>
      <w:footerReference r:id="rId7" w:type="first"/>
      <w:footerReference r:id="rId5" w:type="default"/>
      <w:footerReference r:id="rId6" w:type="even"/>
      <w:pgSz w:w="11907" w:h="16839"/>
      <w:pgMar w:top="1418" w:right="1134" w:bottom="1418" w:left="1418" w:header="851" w:footer="992" w:gutter="0"/>
      <w:cols w:space="425" w:num="1"/>
      <w:titlePg/>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CD5BE">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EFF4A">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F78F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49F78F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8518">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03FD3">
                          <w:pPr>
                            <w:pStyle w:val="4"/>
                            <w:rPr>
                              <w:rStyle w:val="11"/>
                            </w:rPr>
                          </w:pPr>
                          <w:r>
                            <w:rPr>
                              <w:rStyle w:val="11"/>
                            </w:rPr>
                            <w:fldChar w:fldCharType="begin"/>
                          </w:r>
                          <w:r>
                            <w:rPr>
                              <w:rStyle w:val="11"/>
                            </w:rPr>
                            <w:instrText xml:space="preserve">PAGE  </w:instrText>
                          </w:r>
                          <w:r>
                            <w:rPr>
                              <w:rStyle w:val="11"/>
                            </w:rPr>
                            <w:fldChar w:fldCharType="separate"/>
                          </w:r>
                          <w:r>
                            <w:rPr>
                              <w:rStyle w:val="11"/>
                            </w:rPr>
                            <w:t>7</w:t>
                          </w:r>
                          <w:r>
                            <w:rPr>
                              <w:rStyle w:val="1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E403FD3">
                    <w:pPr>
                      <w:pStyle w:val="4"/>
                      <w:rPr>
                        <w:rStyle w:val="11"/>
                      </w:rPr>
                    </w:pPr>
                    <w:r>
                      <w:rPr>
                        <w:rStyle w:val="11"/>
                      </w:rPr>
                      <w:fldChar w:fldCharType="begin"/>
                    </w:r>
                    <w:r>
                      <w:rPr>
                        <w:rStyle w:val="11"/>
                      </w:rPr>
                      <w:instrText xml:space="preserve">PAGE  </w:instrText>
                    </w:r>
                    <w:r>
                      <w:rPr>
                        <w:rStyle w:val="11"/>
                      </w:rPr>
                      <w:fldChar w:fldCharType="separate"/>
                    </w:r>
                    <w:r>
                      <w:rPr>
                        <w:rStyle w:val="11"/>
                      </w:rPr>
                      <w:t>7</w:t>
                    </w:r>
                    <w:r>
                      <w:rPr>
                        <w:rStyle w:val="1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9BC06">
    <w:pPr>
      <w:pStyle w:val="4"/>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1</w:t>
    </w:r>
    <w:r>
      <w:rPr>
        <w:rStyle w:val="11"/>
      </w:rPr>
      <w:fldChar w:fldCharType="end"/>
    </w:r>
  </w:p>
  <w:p w14:paraId="658F05A6">
    <w:pPr>
      <w:pStyle w:val="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B9F6A">
    <w:pPr>
      <w:pStyle w:val="4"/>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1A788B">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161A788B">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76FA1"/>
    <w:multiLevelType w:val="multilevel"/>
    <w:tmpl w:val="0BD76FA1"/>
    <w:lvl w:ilvl="0" w:tentative="0">
      <w:start w:val="1"/>
      <w:numFmt w:val="decimal"/>
      <w:lvlText w:val="%1."/>
      <w:lvlJc w:val="left"/>
      <w:pPr>
        <w:ind w:left="360" w:hanging="360"/>
      </w:pPr>
      <w:rPr>
        <w:rFonts w:hint="default"/>
      </w:rPr>
    </w:lvl>
    <w:lvl w:ilvl="1" w:tentative="0">
      <w:start w:val="1"/>
      <w:numFmt w:val="decimal"/>
      <w:isLgl/>
      <w:lvlText w:val="%1.%2"/>
      <w:lvlJc w:val="left"/>
      <w:pPr>
        <w:ind w:left="1048" w:hanging="630"/>
      </w:pPr>
      <w:rPr>
        <w:rFonts w:hint="default"/>
      </w:rPr>
    </w:lvl>
    <w:lvl w:ilvl="2" w:tentative="0">
      <w:start w:val="1"/>
      <w:numFmt w:val="decimal"/>
      <w:isLgl/>
      <w:lvlText w:val="%1.%2.%3"/>
      <w:lvlJc w:val="left"/>
      <w:pPr>
        <w:ind w:left="1170" w:hanging="720"/>
      </w:pPr>
      <w:rPr>
        <w:rFonts w:hint="default"/>
      </w:rPr>
    </w:lvl>
    <w:lvl w:ilvl="3" w:tentative="0">
      <w:start w:val="1"/>
      <w:numFmt w:val="decimal"/>
      <w:isLgl/>
      <w:lvlText w:val="%1.%2.%3.%4"/>
      <w:lvlJc w:val="left"/>
      <w:pPr>
        <w:ind w:left="1755" w:hanging="1080"/>
      </w:pPr>
      <w:rPr>
        <w:rFonts w:hint="default"/>
      </w:rPr>
    </w:lvl>
    <w:lvl w:ilvl="4" w:tentative="0">
      <w:start w:val="1"/>
      <w:numFmt w:val="decimal"/>
      <w:isLgl/>
      <w:lvlText w:val="%1.%2.%3.%4.%5"/>
      <w:lvlJc w:val="left"/>
      <w:pPr>
        <w:ind w:left="1980" w:hanging="1080"/>
      </w:pPr>
      <w:rPr>
        <w:rFonts w:hint="default"/>
      </w:rPr>
    </w:lvl>
    <w:lvl w:ilvl="5" w:tentative="0">
      <w:start w:val="1"/>
      <w:numFmt w:val="decimal"/>
      <w:isLgl/>
      <w:lvlText w:val="%1.%2.%3.%4.%5.%6"/>
      <w:lvlJc w:val="left"/>
      <w:pPr>
        <w:ind w:left="2565" w:hanging="1440"/>
      </w:pPr>
      <w:rPr>
        <w:rFonts w:hint="default"/>
      </w:rPr>
    </w:lvl>
    <w:lvl w:ilvl="6" w:tentative="0">
      <w:start w:val="1"/>
      <w:numFmt w:val="decimal"/>
      <w:isLgl/>
      <w:lvlText w:val="%1.%2.%3.%4.%5.%6.%7"/>
      <w:lvlJc w:val="left"/>
      <w:pPr>
        <w:ind w:left="3150" w:hanging="1800"/>
      </w:pPr>
      <w:rPr>
        <w:rFonts w:hint="default"/>
      </w:rPr>
    </w:lvl>
    <w:lvl w:ilvl="7" w:tentative="0">
      <w:start w:val="1"/>
      <w:numFmt w:val="decimal"/>
      <w:isLgl/>
      <w:lvlText w:val="%1.%2.%3.%4.%5.%6.%7.%8"/>
      <w:lvlJc w:val="left"/>
      <w:pPr>
        <w:ind w:left="3375" w:hanging="1800"/>
      </w:pPr>
      <w:rPr>
        <w:rFonts w:hint="default"/>
      </w:rPr>
    </w:lvl>
    <w:lvl w:ilvl="8" w:tentative="0">
      <w:start w:val="1"/>
      <w:numFmt w:val="decimal"/>
      <w:isLgl/>
      <w:lvlText w:val="%1.%2.%3.%4.%5.%6.%7.%8.%9"/>
      <w:lvlJc w:val="left"/>
      <w:pPr>
        <w:ind w:left="3960" w:hanging="2160"/>
      </w:pPr>
      <w:rPr>
        <w:rFonts w:hint="default"/>
      </w:rPr>
    </w:lvl>
  </w:abstractNum>
  <w:abstractNum w:abstractNumId="1">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18"/>
    <w:rsid w:val="00046CA0"/>
    <w:rsid w:val="0040036D"/>
    <w:rsid w:val="00621322"/>
    <w:rsid w:val="00924718"/>
    <w:rsid w:val="00A40483"/>
    <w:rsid w:val="00BA6875"/>
    <w:rsid w:val="00DB3A38"/>
    <w:rsid w:val="00EA233A"/>
    <w:rsid w:val="011C626C"/>
    <w:rsid w:val="01664743"/>
    <w:rsid w:val="017C3B05"/>
    <w:rsid w:val="01AA7D1B"/>
    <w:rsid w:val="01C74429"/>
    <w:rsid w:val="02106493"/>
    <w:rsid w:val="025A34EF"/>
    <w:rsid w:val="0261786D"/>
    <w:rsid w:val="02AD1871"/>
    <w:rsid w:val="02B40E52"/>
    <w:rsid w:val="02D440E6"/>
    <w:rsid w:val="02D60E35"/>
    <w:rsid w:val="02E958D7"/>
    <w:rsid w:val="02ED5C0A"/>
    <w:rsid w:val="03103BAE"/>
    <w:rsid w:val="031B324A"/>
    <w:rsid w:val="0348159A"/>
    <w:rsid w:val="041575B8"/>
    <w:rsid w:val="0438160E"/>
    <w:rsid w:val="043B1FC0"/>
    <w:rsid w:val="04406715"/>
    <w:rsid w:val="047A5783"/>
    <w:rsid w:val="04B073F7"/>
    <w:rsid w:val="04FD0162"/>
    <w:rsid w:val="052B1173"/>
    <w:rsid w:val="053F7ABE"/>
    <w:rsid w:val="054E7A3A"/>
    <w:rsid w:val="05A8301B"/>
    <w:rsid w:val="05AC0BCF"/>
    <w:rsid w:val="05D75C71"/>
    <w:rsid w:val="05E355AA"/>
    <w:rsid w:val="05FB28F4"/>
    <w:rsid w:val="065232EA"/>
    <w:rsid w:val="065F10D4"/>
    <w:rsid w:val="069F7723"/>
    <w:rsid w:val="06D5377A"/>
    <w:rsid w:val="06F04422"/>
    <w:rsid w:val="06F25AAD"/>
    <w:rsid w:val="070B6B66"/>
    <w:rsid w:val="072639A0"/>
    <w:rsid w:val="079C1EB4"/>
    <w:rsid w:val="08234384"/>
    <w:rsid w:val="083245C7"/>
    <w:rsid w:val="088A7F5F"/>
    <w:rsid w:val="08B17BE1"/>
    <w:rsid w:val="08E21B49"/>
    <w:rsid w:val="091E4CE4"/>
    <w:rsid w:val="09645871"/>
    <w:rsid w:val="09734E97"/>
    <w:rsid w:val="097529BD"/>
    <w:rsid w:val="097F383C"/>
    <w:rsid w:val="09B174F4"/>
    <w:rsid w:val="09B75B6E"/>
    <w:rsid w:val="09BE0A46"/>
    <w:rsid w:val="09C83435"/>
    <w:rsid w:val="09DE12BD"/>
    <w:rsid w:val="09EB63D4"/>
    <w:rsid w:val="09F204B1"/>
    <w:rsid w:val="0A3C34DB"/>
    <w:rsid w:val="0A9A411C"/>
    <w:rsid w:val="0AB3715E"/>
    <w:rsid w:val="0AC86CBC"/>
    <w:rsid w:val="0AF03680"/>
    <w:rsid w:val="0B1C53C3"/>
    <w:rsid w:val="0B4E159C"/>
    <w:rsid w:val="0B62438A"/>
    <w:rsid w:val="0B776EC0"/>
    <w:rsid w:val="0B837613"/>
    <w:rsid w:val="0BED0F30"/>
    <w:rsid w:val="0C6A11AF"/>
    <w:rsid w:val="0CE7345E"/>
    <w:rsid w:val="0DA675E9"/>
    <w:rsid w:val="0DCF322B"/>
    <w:rsid w:val="0DEC3163"/>
    <w:rsid w:val="0E1327A4"/>
    <w:rsid w:val="0E1C5AFD"/>
    <w:rsid w:val="0E6C2A8F"/>
    <w:rsid w:val="0ED609C5"/>
    <w:rsid w:val="0F6A45D8"/>
    <w:rsid w:val="0F735BF1"/>
    <w:rsid w:val="0F9F0794"/>
    <w:rsid w:val="0FB564AE"/>
    <w:rsid w:val="10281712"/>
    <w:rsid w:val="10F144B7"/>
    <w:rsid w:val="110348F8"/>
    <w:rsid w:val="1104094D"/>
    <w:rsid w:val="115D0906"/>
    <w:rsid w:val="115E180D"/>
    <w:rsid w:val="116A280D"/>
    <w:rsid w:val="11C42733"/>
    <w:rsid w:val="11DF2E25"/>
    <w:rsid w:val="12160095"/>
    <w:rsid w:val="125515DD"/>
    <w:rsid w:val="12B72C8C"/>
    <w:rsid w:val="12F421BC"/>
    <w:rsid w:val="13241AA0"/>
    <w:rsid w:val="133E49FA"/>
    <w:rsid w:val="137A691E"/>
    <w:rsid w:val="13983E78"/>
    <w:rsid w:val="13AC219A"/>
    <w:rsid w:val="13BE4A65"/>
    <w:rsid w:val="13C20EF5"/>
    <w:rsid w:val="142976A3"/>
    <w:rsid w:val="14BE5D79"/>
    <w:rsid w:val="1519674C"/>
    <w:rsid w:val="15453B8B"/>
    <w:rsid w:val="15A755DB"/>
    <w:rsid w:val="15B14D7D"/>
    <w:rsid w:val="15E56205"/>
    <w:rsid w:val="162224A9"/>
    <w:rsid w:val="16292168"/>
    <w:rsid w:val="1698119C"/>
    <w:rsid w:val="16BE59A3"/>
    <w:rsid w:val="17163ADA"/>
    <w:rsid w:val="173C6977"/>
    <w:rsid w:val="17C90AA4"/>
    <w:rsid w:val="183807C2"/>
    <w:rsid w:val="183869EB"/>
    <w:rsid w:val="189015C1"/>
    <w:rsid w:val="189F071C"/>
    <w:rsid w:val="18A1732B"/>
    <w:rsid w:val="18BC4164"/>
    <w:rsid w:val="18F246DF"/>
    <w:rsid w:val="18FA7A2F"/>
    <w:rsid w:val="192B4E46"/>
    <w:rsid w:val="196A4DA8"/>
    <w:rsid w:val="197E766C"/>
    <w:rsid w:val="19855C98"/>
    <w:rsid w:val="1998697F"/>
    <w:rsid w:val="19AA66B3"/>
    <w:rsid w:val="1A0F4768"/>
    <w:rsid w:val="1A9609E5"/>
    <w:rsid w:val="1AD720B2"/>
    <w:rsid w:val="1AD87250"/>
    <w:rsid w:val="1AF75928"/>
    <w:rsid w:val="1AFA0F74"/>
    <w:rsid w:val="1B2C375E"/>
    <w:rsid w:val="1B2D6E1C"/>
    <w:rsid w:val="1B3939DF"/>
    <w:rsid w:val="1B810257"/>
    <w:rsid w:val="1BB05AD7"/>
    <w:rsid w:val="1BB569EE"/>
    <w:rsid w:val="1BBA4498"/>
    <w:rsid w:val="1C2B7514"/>
    <w:rsid w:val="1C41355E"/>
    <w:rsid w:val="1C493F61"/>
    <w:rsid w:val="1C951971"/>
    <w:rsid w:val="1CC47F14"/>
    <w:rsid w:val="1D104A7F"/>
    <w:rsid w:val="1D1207F7"/>
    <w:rsid w:val="1D3E783E"/>
    <w:rsid w:val="1D7E40DE"/>
    <w:rsid w:val="1D8D60CF"/>
    <w:rsid w:val="1DBE3491"/>
    <w:rsid w:val="1DCF4839"/>
    <w:rsid w:val="1DE1641B"/>
    <w:rsid w:val="1DF60118"/>
    <w:rsid w:val="1E6E167D"/>
    <w:rsid w:val="1E74728F"/>
    <w:rsid w:val="1E7545E7"/>
    <w:rsid w:val="1EC75611"/>
    <w:rsid w:val="1EE066D3"/>
    <w:rsid w:val="1EEC5078"/>
    <w:rsid w:val="1EF53F2C"/>
    <w:rsid w:val="1F394904"/>
    <w:rsid w:val="1F996FAD"/>
    <w:rsid w:val="1FB64729"/>
    <w:rsid w:val="1FC837BA"/>
    <w:rsid w:val="1FE3647B"/>
    <w:rsid w:val="1FEA7809"/>
    <w:rsid w:val="1FEF48D2"/>
    <w:rsid w:val="20360CA0"/>
    <w:rsid w:val="203828C7"/>
    <w:rsid w:val="20E406FC"/>
    <w:rsid w:val="210D3C3C"/>
    <w:rsid w:val="211C0E60"/>
    <w:rsid w:val="21240AF9"/>
    <w:rsid w:val="21341EF9"/>
    <w:rsid w:val="21A223BE"/>
    <w:rsid w:val="21A24B45"/>
    <w:rsid w:val="21B7196D"/>
    <w:rsid w:val="21FB3EDE"/>
    <w:rsid w:val="22251172"/>
    <w:rsid w:val="229C6999"/>
    <w:rsid w:val="22F83FEB"/>
    <w:rsid w:val="22FA4E66"/>
    <w:rsid w:val="233D3949"/>
    <w:rsid w:val="233D5EA2"/>
    <w:rsid w:val="23986B8E"/>
    <w:rsid w:val="24593831"/>
    <w:rsid w:val="24727DCD"/>
    <w:rsid w:val="2494317B"/>
    <w:rsid w:val="251B2213"/>
    <w:rsid w:val="253316A2"/>
    <w:rsid w:val="2533755C"/>
    <w:rsid w:val="25C26B32"/>
    <w:rsid w:val="25E93665"/>
    <w:rsid w:val="266A16A4"/>
    <w:rsid w:val="267E0E7B"/>
    <w:rsid w:val="26904C78"/>
    <w:rsid w:val="26935AE1"/>
    <w:rsid w:val="26D0702D"/>
    <w:rsid w:val="26EC7638"/>
    <w:rsid w:val="27DA63B5"/>
    <w:rsid w:val="28090A48"/>
    <w:rsid w:val="286D07E3"/>
    <w:rsid w:val="28757437"/>
    <w:rsid w:val="28AC2F9C"/>
    <w:rsid w:val="292157B7"/>
    <w:rsid w:val="293B7327"/>
    <w:rsid w:val="294066EC"/>
    <w:rsid w:val="29437F8A"/>
    <w:rsid w:val="296B02BB"/>
    <w:rsid w:val="298F31CF"/>
    <w:rsid w:val="29AC6EB1"/>
    <w:rsid w:val="29C5178E"/>
    <w:rsid w:val="29D81C33"/>
    <w:rsid w:val="29E21551"/>
    <w:rsid w:val="29E4176D"/>
    <w:rsid w:val="2A257690"/>
    <w:rsid w:val="2A5B02ED"/>
    <w:rsid w:val="2A5C2F0E"/>
    <w:rsid w:val="2AE92F72"/>
    <w:rsid w:val="2AF74609"/>
    <w:rsid w:val="2AFD1AC3"/>
    <w:rsid w:val="2AFE685E"/>
    <w:rsid w:val="2B1971F4"/>
    <w:rsid w:val="2B52641F"/>
    <w:rsid w:val="2B6B1864"/>
    <w:rsid w:val="2B74146E"/>
    <w:rsid w:val="2BA50A88"/>
    <w:rsid w:val="2BB46F1D"/>
    <w:rsid w:val="2BCF2710"/>
    <w:rsid w:val="2BEC4BD6"/>
    <w:rsid w:val="2C33078A"/>
    <w:rsid w:val="2CA90EA9"/>
    <w:rsid w:val="2CFB590C"/>
    <w:rsid w:val="2D250602"/>
    <w:rsid w:val="2D560C9E"/>
    <w:rsid w:val="2D67693D"/>
    <w:rsid w:val="2D7626DC"/>
    <w:rsid w:val="2DFF748C"/>
    <w:rsid w:val="2EAF227F"/>
    <w:rsid w:val="2EC4391B"/>
    <w:rsid w:val="2EC90F31"/>
    <w:rsid w:val="2F690344"/>
    <w:rsid w:val="2F745341"/>
    <w:rsid w:val="2F871743"/>
    <w:rsid w:val="2F9E23BE"/>
    <w:rsid w:val="2FD91648"/>
    <w:rsid w:val="308570DA"/>
    <w:rsid w:val="30CE1EF5"/>
    <w:rsid w:val="31083F93"/>
    <w:rsid w:val="313F2EFC"/>
    <w:rsid w:val="314F3970"/>
    <w:rsid w:val="31650830"/>
    <w:rsid w:val="318B24CE"/>
    <w:rsid w:val="31A812D2"/>
    <w:rsid w:val="31C53C32"/>
    <w:rsid w:val="31C74874"/>
    <w:rsid w:val="31CE1B07"/>
    <w:rsid w:val="31E91330"/>
    <w:rsid w:val="31F2575D"/>
    <w:rsid w:val="320E382B"/>
    <w:rsid w:val="32146967"/>
    <w:rsid w:val="32A65188"/>
    <w:rsid w:val="336F2B30"/>
    <w:rsid w:val="337D6587"/>
    <w:rsid w:val="343C3F54"/>
    <w:rsid w:val="343E7CCC"/>
    <w:rsid w:val="34757B91"/>
    <w:rsid w:val="34925EC2"/>
    <w:rsid w:val="34C46C64"/>
    <w:rsid w:val="34CD05B2"/>
    <w:rsid w:val="35217C3A"/>
    <w:rsid w:val="35305866"/>
    <w:rsid w:val="35DD2AFA"/>
    <w:rsid w:val="35FA63E1"/>
    <w:rsid w:val="36370E76"/>
    <w:rsid w:val="365D7F3C"/>
    <w:rsid w:val="36BE50F4"/>
    <w:rsid w:val="36D861B6"/>
    <w:rsid w:val="36F6663C"/>
    <w:rsid w:val="37712166"/>
    <w:rsid w:val="37F012DD"/>
    <w:rsid w:val="38262F51"/>
    <w:rsid w:val="388D4D7E"/>
    <w:rsid w:val="38A547BD"/>
    <w:rsid w:val="38AC16A8"/>
    <w:rsid w:val="391F00CC"/>
    <w:rsid w:val="39244C69"/>
    <w:rsid w:val="392D2973"/>
    <w:rsid w:val="393A3157"/>
    <w:rsid w:val="39623B4D"/>
    <w:rsid w:val="39875C71"/>
    <w:rsid w:val="39CE564E"/>
    <w:rsid w:val="39E06281"/>
    <w:rsid w:val="3A3556CD"/>
    <w:rsid w:val="3A5307BE"/>
    <w:rsid w:val="3A7B66B0"/>
    <w:rsid w:val="3A9551C7"/>
    <w:rsid w:val="3AA54601"/>
    <w:rsid w:val="3AB111F7"/>
    <w:rsid w:val="3AC52EF5"/>
    <w:rsid w:val="3AD155DE"/>
    <w:rsid w:val="3AE71032"/>
    <w:rsid w:val="3BB56AC5"/>
    <w:rsid w:val="3BC46D08"/>
    <w:rsid w:val="3BFA097C"/>
    <w:rsid w:val="3C30365E"/>
    <w:rsid w:val="3C8943C5"/>
    <w:rsid w:val="3C8F5568"/>
    <w:rsid w:val="3CFD64F3"/>
    <w:rsid w:val="3D0F2205"/>
    <w:rsid w:val="3D141F11"/>
    <w:rsid w:val="3D1D2B74"/>
    <w:rsid w:val="3D597924"/>
    <w:rsid w:val="3D804EB1"/>
    <w:rsid w:val="3DD55CB0"/>
    <w:rsid w:val="3E3A1504"/>
    <w:rsid w:val="3E693B97"/>
    <w:rsid w:val="3E80785E"/>
    <w:rsid w:val="3EEF0540"/>
    <w:rsid w:val="3F116709"/>
    <w:rsid w:val="3FCC6AD3"/>
    <w:rsid w:val="3FD339BE"/>
    <w:rsid w:val="3FE21B2E"/>
    <w:rsid w:val="402204A3"/>
    <w:rsid w:val="40314EB2"/>
    <w:rsid w:val="40463E1D"/>
    <w:rsid w:val="404958A9"/>
    <w:rsid w:val="40537C33"/>
    <w:rsid w:val="4057639D"/>
    <w:rsid w:val="40B03CFF"/>
    <w:rsid w:val="414B1C3C"/>
    <w:rsid w:val="41517290"/>
    <w:rsid w:val="41B96BE3"/>
    <w:rsid w:val="41D30465"/>
    <w:rsid w:val="422E312E"/>
    <w:rsid w:val="42BC698B"/>
    <w:rsid w:val="42CF429C"/>
    <w:rsid w:val="43090FA9"/>
    <w:rsid w:val="43360F98"/>
    <w:rsid w:val="43484F6E"/>
    <w:rsid w:val="4433214B"/>
    <w:rsid w:val="443B107F"/>
    <w:rsid w:val="44600328"/>
    <w:rsid w:val="447A6AFE"/>
    <w:rsid w:val="447B3C2A"/>
    <w:rsid w:val="44934AAB"/>
    <w:rsid w:val="44A377A9"/>
    <w:rsid w:val="44E126D9"/>
    <w:rsid w:val="45617167"/>
    <w:rsid w:val="45A71B75"/>
    <w:rsid w:val="45C049E4"/>
    <w:rsid w:val="47161613"/>
    <w:rsid w:val="47407F23"/>
    <w:rsid w:val="478F0B12"/>
    <w:rsid w:val="47FF5A22"/>
    <w:rsid w:val="480A1F47"/>
    <w:rsid w:val="484F3DFE"/>
    <w:rsid w:val="48F826E7"/>
    <w:rsid w:val="4910665F"/>
    <w:rsid w:val="494F4C8A"/>
    <w:rsid w:val="495C4A24"/>
    <w:rsid w:val="49656BC0"/>
    <w:rsid w:val="49F8402B"/>
    <w:rsid w:val="49FF3DD1"/>
    <w:rsid w:val="4A121587"/>
    <w:rsid w:val="4A255C0F"/>
    <w:rsid w:val="4A2F66DB"/>
    <w:rsid w:val="4AD84D52"/>
    <w:rsid w:val="4AF4454F"/>
    <w:rsid w:val="4B4176F5"/>
    <w:rsid w:val="4B7507FF"/>
    <w:rsid w:val="4B7818BD"/>
    <w:rsid w:val="4B842010"/>
    <w:rsid w:val="4C235CCD"/>
    <w:rsid w:val="4C9B5863"/>
    <w:rsid w:val="4CB571EA"/>
    <w:rsid w:val="4D500031"/>
    <w:rsid w:val="4D5D5079"/>
    <w:rsid w:val="4D673998"/>
    <w:rsid w:val="4DB35B43"/>
    <w:rsid w:val="4DB56A07"/>
    <w:rsid w:val="4E1753BE"/>
    <w:rsid w:val="4E4454AB"/>
    <w:rsid w:val="4E4A7541"/>
    <w:rsid w:val="4E9B6CB6"/>
    <w:rsid w:val="4EBE6536"/>
    <w:rsid w:val="4F2D3F9F"/>
    <w:rsid w:val="4F3124AF"/>
    <w:rsid w:val="4F356A49"/>
    <w:rsid w:val="4F692710"/>
    <w:rsid w:val="4F702FD7"/>
    <w:rsid w:val="4F716D4F"/>
    <w:rsid w:val="503A6B6E"/>
    <w:rsid w:val="506F328F"/>
    <w:rsid w:val="50863BA3"/>
    <w:rsid w:val="51107F94"/>
    <w:rsid w:val="515B4604"/>
    <w:rsid w:val="51627812"/>
    <w:rsid w:val="51703763"/>
    <w:rsid w:val="518915A2"/>
    <w:rsid w:val="51BC62F3"/>
    <w:rsid w:val="52BE5550"/>
    <w:rsid w:val="52D803D6"/>
    <w:rsid w:val="52DA3F06"/>
    <w:rsid w:val="52EB4869"/>
    <w:rsid w:val="530D4FE1"/>
    <w:rsid w:val="53397B84"/>
    <w:rsid w:val="53BD6A07"/>
    <w:rsid w:val="541A01A7"/>
    <w:rsid w:val="542A2224"/>
    <w:rsid w:val="54BF40B9"/>
    <w:rsid w:val="55027375"/>
    <w:rsid w:val="556F5ADF"/>
    <w:rsid w:val="55F04E72"/>
    <w:rsid w:val="560962E6"/>
    <w:rsid w:val="56A45C5C"/>
    <w:rsid w:val="56CF5CFB"/>
    <w:rsid w:val="572A4A40"/>
    <w:rsid w:val="57361164"/>
    <w:rsid w:val="576378C6"/>
    <w:rsid w:val="576E3F40"/>
    <w:rsid w:val="57E27D90"/>
    <w:rsid w:val="583C0450"/>
    <w:rsid w:val="58845D45"/>
    <w:rsid w:val="5897171C"/>
    <w:rsid w:val="58CD3EAB"/>
    <w:rsid w:val="59685F8C"/>
    <w:rsid w:val="597D4C6F"/>
    <w:rsid w:val="59A55F73"/>
    <w:rsid w:val="59CD0471"/>
    <w:rsid w:val="59F16AAB"/>
    <w:rsid w:val="5A0E3B19"/>
    <w:rsid w:val="5A184997"/>
    <w:rsid w:val="5A2275C4"/>
    <w:rsid w:val="5AA47504"/>
    <w:rsid w:val="5AAC1AFB"/>
    <w:rsid w:val="5ADD49A6"/>
    <w:rsid w:val="5B6C254A"/>
    <w:rsid w:val="5BAE26AC"/>
    <w:rsid w:val="5BFA6656"/>
    <w:rsid w:val="5C0D4B41"/>
    <w:rsid w:val="5C186ED1"/>
    <w:rsid w:val="5C2C4773"/>
    <w:rsid w:val="5C3929A3"/>
    <w:rsid w:val="5C6520CD"/>
    <w:rsid w:val="5C7878F3"/>
    <w:rsid w:val="5CBD35D4"/>
    <w:rsid w:val="5CE868B8"/>
    <w:rsid w:val="5D0B3999"/>
    <w:rsid w:val="5DD23E94"/>
    <w:rsid w:val="5DF92166"/>
    <w:rsid w:val="5E4352F8"/>
    <w:rsid w:val="5E715CA4"/>
    <w:rsid w:val="5EB50367"/>
    <w:rsid w:val="5F381E11"/>
    <w:rsid w:val="5F73441E"/>
    <w:rsid w:val="5F851253"/>
    <w:rsid w:val="5FB40AB0"/>
    <w:rsid w:val="5FC51983"/>
    <w:rsid w:val="5FFA17ED"/>
    <w:rsid w:val="600A32D5"/>
    <w:rsid w:val="600D6620"/>
    <w:rsid w:val="601F7341"/>
    <w:rsid w:val="60563B24"/>
    <w:rsid w:val="608763D3"/>
    <w:rsid w:val="60FA6BA5"/>
    <w:rsid w:val="610D2B26"/>
    <w:rsid w:val="61160D42"/>
    <w:rsid w:val="61205DF7"/>
    <w:rsid w:val="615362B5"/>
    <w:rsid w:val="617526CF"/>
    <w:rsid w:val="61AD242D"/>
    <w:rsid w:val="61EC6F36"/>
    <w:rsid w:val="622B0FE0"/>
    <w:rsid w:val="624A4433"/>
    <w:rsid w:val="62726C0F"/>
    <w:rsid w:val="62A815B0"/>
    <w:rsid w:val="62CC7B9D"/>
    <w:rsid w:val="62F65418"/>
    <w:rsid w:val="62FE04A2"/>
    <w:rsid w:val="63452E4E"/>
    <w:rsid w:val="634E4F86"/>
    <w:rsid w:val="63D506D7"/>
    <w:rsid w:val="63EE6769"/>
    <w:rsid w:val="64746C6E"/>
    <w:rsid w:val="64A70DF2"/>
    <w:rsid w:val="64E44FC5"/>
    <w:rsid w:val="653C162C"/>
    <w:rsid w:val="65493C57"/>
    <w:rsid w:val="658A23A5"/>
    <w:rsid w:val="65EB53FF"/>
    <w:rsid w:val="66151727"/>
    <w:rsid w:val="661F0E5C"/>
    <w:rsid w:val="664105F1"/>
    <w:rsid w:val="665B6338"/>
    <w:rsid w:val="666053C5"/>
    <w:rsid w:val="668A09CB"/>
    <w:rsid w:val="66DD7BB1"/>
    <w:rsid w:val="66DE0650"/>
    <w:rsid w:val="66E60B21"/>
    <w:rsid w:val="66FB5425"/>
    <w:rsid w:val="670E46A1"/>
    <w:rsid w:val="677B1F86"/>
    <w:rsid w:val="67A47DFD"/>
    <w:rsid w:val="67B725E5"/>
    <w:rsid w:val="67EA60E9"/>
    <w:rsid w:val="68324E76"/>
    <w:rsid w:val="687F5BE1"/>
    <w:rsid w:val="689737C6"/>
    <w:rsid w:val="68C77CB4"/>
    <w:rsid w:val="68C87588"/>
    <w:rsid w:val="690D0B36"/>
    <w:rsid w:val="695B21AB"/>
    <w:rsid w:val="69962C74"/>
    <w:rsid w:val="69E55F18"/>
    <w:rsid w:val="69FB6AF5"/>
    <w:rsid w:val="69FD14B4"/>
    <w:rsid w:val="6A4472A4"/>
    <w:rsid w:val="6A822C20"/>
    <w:rsid w:val="6A8E65B0"/>
    <w:rsid w:val="6A9770FC"/>
    <w:rsid w:val="6A9C10AA"/>
    <w:rsid w:val="6A9C641C"/>
    <w:rsid w:val="6BED142E"/>
    <w:rsid w:val="6BF36100"/>
    <w:rsid w:val="6BFE0552"/>
    <w:rsid w:val="6C2A5FE8"/>
    <w:rsid w:val="6CBA237E"/>
    <w:rsid w:val="6CFB475C"/>
    <w:rsid w:val="6D12601F"/>
    <w:rsid w:val="6D6E55BB"/>
    <w:rsid w:val="6DF53E09"/>
    <w:rsid w:val="6E136EBE"/>
    <w:rsid w:val="6E657628"/>
    <w:rsid w:val="6E7A1325"/>
    <w:rsid w:val="6EB26D11"/>
    <w:rsid w:val="6EB55A53"/>
    <w:rsid w:val="6EEA2A6C"/>
    <w:rsid w:val="6F0F0BFC"/>
    <w:rsid w:val="6F704EEA"/>
    <w:rsid w:val="6F712003"/>
    <w:rsid w:val="6F777B16"/>
    <w:rsid w:val="6FB8343A"/>
    <w:rsid w:val="700426E2"/>
    <w:rsid w:val="7036127C"/>
    <w:rsid w:val="70763D6E"/>
    <w:rsid w:val="709E00F9"/>
    <w:rsid w:val="70D07922"/>
    <w:rsid w:val="71191BB7"/>
    <w:rsid w:val="711A294B"/>
    <w:rsid w:val="7135441D"/>
    <w:rsid w:val="716001B0"/>
    <w:rsid w:val="71C805F9"/>
    <w:rsid w:val="71FB452B"/>
    <w:rsid w:val="71FD5450"/>
    <w:rsid w:val="722D2A5F"/>
    <w:rsid w:val="72404633"/>
    <w:rsid w:val="72785B7B"/>
    <w:rsid w:val="72833742"/>
    <w:rsid w:val="728564EA"/>
    <w:rsid w:val="72936E59"/>
    <w:rsid w:val="72A077AF"/>
    <w:rsid w:val="72C139C6"/>
    <w:rsid w:val="72D82ABE"/>
    <w:rsid w:val="72EC6569"/>
    <w:rsid w:val="731F249B"/>
    <w:rsid w:val="73320420"/>
    <w:rsid w:val="739D49E3"/>
    <w:rsid w:val="73CB043E"/>
    <w:rsid w:val="73CB324C"/>
    <w:rsid w:val="73F73418"/>
    <w:rsid w:val="74BB2183"/>
    <w:rsid w:val="74CD5B6B"/>
    <w:rsid w:val="74FF2584"/>
    <w:rsid w:val="755A4768"/>
    <w:rsid w:val="756643EA"/>
    <w:rsid w:val="7589009F"/>
    <w:rsid w:val="75AE6D19"/>
    <w:rsid w:val="75C80BC8"/>
    <w:rsid w:val="76544B51"/>
    <w:rsid w:val="765E152C"/>
    <w:rsid w:val="76D0305C"/>
    <w:rsid w:val="76D101FA"/>
    <w:rsid w:val="76E83DCF"/>
    <w:rsid w:val="76F37EC6"/>
    <w:rsid w:val="773109EF"/>
    <w:rsid w:val="77923033"/>
    <w:rsid w:val="77B21B30"/>
    <w:rsid w:val="77B358A8"/>
    <w:rsid w:val="7860158C"/>
    <w:rsid w:val="78E026CC"/>
    <w:rsid w:val="78EE696A"/>
    <w:rsid w:val="79607075"/>
    <w:rsid w:val="796C5B88"/>
    <w:rsid w:val="79E546B5"/>
    <w:rsid w:val="79FA77BE"/>
    <w:rsid w:val="79FD5B8D"/>
    <w:rsid w:val="7B1E74DC"/>
    <w:rsid w:val="7B2F7F0B"/>
    <w:rsid w:val="7B674584"/>
    <w:rsid w:val="7B7917EF"/>
    <w:rsid w:val="7B9A1458"/>
    <w:rsid w:val="7BBF6F52"/>
    <w:rsid w:val="7BE400F9"/>
    <w:rsid w:val="7BF81ADB"/>
    <w:rsid w:val="7C506205"/>
    <w:rsid w:val="7C892B4B"/>
    <w:rsid w:val="7C8F3ABE"/>
    <w:rsid w:val="7CAA1027"/>
    <w:rsid w:val="7D217AB6"/>
    <w:rsid w:val="7D2C0620"/>
    <w:rsid w:val="7DA4016C"/>
    <w:rsid w:val="7DDF2F52"/>
    <w:rsid w:val="7DFB58B2"/>
    <w:rsid w:val="7E2B3EBD"/>
    <w:rsid w:val="7E804513"/>
    <w:rsid w:val="7E837D82"/>
    <w:rsid w:val="7F671451"/>
    <w:rsid w:val="7F6C6A68"/>
    <w:rsid w:val="7F6F0919"/>
    <w:rsid w:val="7F8C59B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after="330" w:line="576" w:lineRule="auto"/>
      <w:outlineLvl w:val="0"/>
    </w:pPr>
    <w:rPr>
      <w:b/>
      <w:kern w:val="44"/>
      <w:sz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39"/>
    <w:pPr>
      <w:spacing w:before="120"/>
      <w:jc w:val="left"/>
    </w:pPr>
    <w:rPr>
      <w:rFonts w:ascii="Calibri" w:hAnsi="Calibri"/>
      <w:b/>
      <w:bCs/>
      <w:i/>
      <w:iCs/>
      <w:sz w:val="24"/>
    </w:rPr>
  </w:style>
  <w:style w:type="paragraph" w:styleId="7">
    <w:name w:val="toc 2"/>
    <w:basedOn w:val="1"/>
    <w:next w:val="1"/>
    <w:qFormat/>
    <w:uiPriority w:val="0"/>
    <w:pPr>
      <w:ind w:left="420" w:leftChars="200"/>
    </w:pPr>
  </w:style>
  <w:style w:type="character" w:styleId="10">
    <w:name w:val="Strong"/>
    <w:basedOn w:val="9"/>
    <w:qFormat/>
    <w:uiPriority w:val="0"/>
    <w:rPr>
      <w:b/>
    </w:rPr>
  </w:style>
  <w:style w:type="character" w:styleId="11">
    <w:name w:val="page number"/>
    <w:basedOn w:val="9"/>
    <w:qFormat/>
    <w:uiPriority w:val="0"/>
  </w:style>
  <w:style w:type="paragraph" w:customStyle="1" w:styleId="12">
    <w:name w:val="公式"/>
    <w:basedOn w:val="1"/>
    <w:qFormat/>
    <w:uiPriority w:val="0"/>
    <w:pPr>
      <w:widowControl/>
      <w:tabs>
        <w:tab w:val="center" w:pos="4620"/>
        <w:tab w:val="right" w:pos="9240"/>
      </w:tabs>
      <w:ind w:left="3220" w:hanging="3220" w:hangingChars="1400"/>
    </w:pPr>
    <w:rPr>
      <w:sz w:val="24"/>
    </w:rPr>
  </w:style>
  <w:style w:type="paragraph" w:customStyle="1" w:styleId="13">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 w:type="paragraph" w:customStyle="1" w:styleId="14">
    <w:name w:val="TOC Heading 1"/>
    <w:basedOn w:val="2"/>
    <w:next w:val="1"/>
    <w:qFormat/>
    <w:uiPriority w:val="0"/>
    <w:pPr>
      <w:widowControl/>
      <w:spacing w:before="480" w:after="0" w:line="276" w:lineRule="auto"/>
      <w:jc w:val="left"/>
      <w:outlineLvl w:val="9"/>
    </w:pPr>
    <w:rPr>
      <w:rFonts w:ascii="Cambria" w:hAnsi="Cambria"/>
      <w:color w:val="385B86"/>
      <w:kern w:val="0"/>
      <w:sz w:val="28"/>
      <w:szCs w:val="28"/>
    </w:rPr>
  </w:style>
  <w:style w:type="character" w:customStyle="1" w:styleId="15">
    <w:name w:val="标题 1 字符"/>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8549</Words>
  <Characters>12247</Characters>
  <Lines>99</Lines>
  <Paragraphs>28</Paragraphs>
  <TotalTime>1318</TotalTime>
  <ScaleCrop>false</ScaleCrop>
  <LinksUpToDate>false</LinksUpToDate>
  <CharactersWithSpaces>12976</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2025-10-08T10:36:00Z</dcterms:created>
  <dc:creator>z</dc:creator>
  <cp:lastModifiedBy>morty</cp:lastModifiedBy>
  <dcterms:modified xsi:type="dcterms:W3CDTF">2025-11-17T14:07:29Z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00F97F571DD041EE9697B388E0E79AB8_13</vt:lpwstr>
  </property>
  <property fmtid="{D5CDD505-2E9C-101B-9397-08002B2CF9AE}" pid="4" name="KSOTemplateDocerSaveRecord">
    <vt:lpwstr>eyJoZGlkIjoiOTA2YTRlY2JlZWM2OTNlNjc4YzQ3Njc0MzAwMDYwMTMiLCJ1c2VySWQiOiI2NTYzNjI1NzQifQ==</vt:lpwstr>
  </property>
</Properties>
</file>