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EC7D54">
      <w:pPr>
        <w:pStyle w:val="2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20260322_交底书写作大纲_一种面向车载低轨卫星通信系统的双链路电磁兼容最坏工况生成、干扰识别与实验室评估方法</w:t>
      </w:r>
    </w:p>
    <w:p w14:paraId="01B399E6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一、建议题目</w:t>
      </w:r>
    </w:p>
    <w:p w14:paraId="5AC120B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ascii="微软雅黑" w:hAnsi="微软雅黑" w:eastAsia="微软雅黑" w:cs="微软雅黑"/>
          <w:color w:val="111827"/>
        </w:rPr>
        <w:t>一种面向车载低轨卫星通信系统的双链路电磁兼容最坏工况生成、干扰识别与实验室评估方法、系统、设备及存储介质。</w:t>
      </w:r>
    </w:p>
    <w:p w14:paraId="13033A45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二、建议保护主题</w:t>
      </w:r>
    </w:p>
    <w:p w14:paraId="3D4DFB1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方法。</w:t>
      </w:r>
    </w:p>
    <w:p w14:paraId="29CEA2D0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系统。</w:t>
      </w:r>
    </w:p>
    <w:p w14:paraId="40EE7DE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电子设备。</w:t>
      </w:r>
    </w:p>
    <w:p w14:paraId="2F9D40AB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计算机可读存储介质。</w:t>
      </w:r>
    </w:p>
    <w:p w14:paraId="77ED5778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三、交底书正文推荐结构</w:t>
      </w:r>
    </w:p>
    <w:p w14:paraId="2FA6256A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3.1 现有技术与痛点</w:t>
      </w:r>
    </w:p>
    <w:p w14:paraId="6C22F2B0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本节建议按以下顺序写。</w:t>
      </w:r>
    </w:p>
    <w:p w14:paraId="3E43E050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先写车载低轨卫星通信的发展背景，强调车载终端已经从单一蜂窝通信扩展到卫星补盲和超视距通信。</w:t>
      </w:r>
    </w:p>
    <w:p w14:paraId="35129EBE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再写现有专利和产品方案主要聚焦通信流程、终端结构、天线控制、数据压缩或现场检测。</w:t>
      </w:r>
    </w:p>
    <w:p w14:paraId="2BFC302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最后明确指出现有方案没有解决“实验室阶段如何对车载低轨卫星通信系统进行动态 EMC 最坏工况评估”的问题。</w:t>
      </w:r>
    </w:p>
    <w:p w14:paraId="359F80C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本节必须突出五个痛点。</w:t>
      </w:r>
    </w:p>
    <w:p w14:paraId="4918036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现有实验室评估脱离时变轨道几何。</w:t>
      </w:r>
    </w:p>
    <w:p w14:paraId="4F21B5E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现有评估往往只看单链路，不看端到端。</w:t>
      </w:r>
    </w:p>
    <w:p w14:paraId="3661C0D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现有评估依赖人工枚举工况，最坏情况覆盖不足。</w:t>
      </w:r>
    </w:p>
    <w:p w14:paraId="59AED339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现有评估只能看退化，不知道干扰类型。</w:t>
      </w:r>
    </w:p>
    <w:p w14:paraId="3FBD923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现有方案缺乏与后续实测参数对接的接口。</w:t>
      </w:r>
    </w:p>
    <w:p w14:paraId="65BCC45E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3.2 发明要解决的问题和有益效果</w:t>
      </w:r>
    </w:p>
    <w:p w14:paraId="7E92F483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本节建议直接围绕以下一句话展开。</w:t>
      </w:r>
    </w:p>
    <w:p w14:paraId="6B49854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如何在计算复杂度可控的前提下，自动生成并识别面向车载低轨卫星通信系统的双链路 EMC 最坏工况，并输出可用于实验室评估、专利附图和工程决策的结果。</w:t>
      </w:r>
    </w:p>
    <w:p w14:paraId="1C9F4B1B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有益效果建议写成五条。</w:t>
      </w:r>
    </w:p>
    <w:p w14:paraId="5D60883E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更真实地复现时变电磁干扰环境。</w:t>
      </w:r>
    </w:p>
    <w:p w14:paraId="212F887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自动发现最坏工况，减少人工漏测。</w:t>
      </w:r>
    </w:p>
    <w:p w14:paraId="79ED28F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同时得到上行、下行和端到端评价结果。</w:t>
      </w:r>
    </w:p>
    <w:p w14:paraId="0662B8E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给出干扰类型和关键帧图像，提高可解释性。</w:t>
      </w:r>
    </w:p>
    <w:p w14:paraId="3128AEC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保留后续与实验室端口参数、天线参数、线损参数对接的扩展能力。</w:t>
      </w:r>
    </w:p>
    <w:p w14:paraId="687D5A84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3.3 技术方案主干</w:t>
      </w:r>
    </w:p>
    <w:p w14:paraId="795282B1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本节建议固定为“系统组成 + 步骤流程”双层结构。</w:t>
      </w:r>
    </w:p>
    <w:p w14:paraId="5019C75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系统组成建议写八个模块。</w:t>
      </w:r>
    </w:p>
    <w:p w14:paraId="4F21F9C3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场景构建模块。</w:t>
      </w:r>
    </w:p>
    <w:p w14:paraId="5C4D886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几何预计算模块。</w:t>
      </w:r>
    </w:p>
    <w:p w14:paraId="3EE5032B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频率复用与星间路由模块。</w:t>
      </w:r>
    </w:p>
    <w:p w14:paraId="3B74E06E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双链路功率建模模块。</w:t>
      </w:r>
    </w:p>
    <w:p w14:paraId="1CBB6FF1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最坏工况生成模块。</w:t>
      </w:r>
    </w:p>
    <w:p w14:paraId="4C7F010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双链路协同评估模块。</w:t>
      </w:r>
    </w:p>
    <w:p w14:paraId="6A4A96AA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7. 干扰识别模块。</w:t>
      </w:r>
    </w:p>
    <w:p w14:paraId="2F2E2E8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8. 结果输出模块。</w:t>
      </w:r>
    </w:p>
    <w:p w14:paraId="3C0CD3CE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流程步骤建议写八步。</w:t>
      </w:r>
    </w:p>
    <w:p w14:paraId="1740984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构建低轨星座、用户终端、网关和干扰卫星场景。</w:t>
      </w:r>
    </w:p>
    <w:p w14:paraId="0654383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计算方位角、仰角、距离、可见性和径向速度。</w:t>
      </w:r>
    </w:p>
    <w:p w14:paraId="6B5B4F6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建立频率复用关系和星间链路图。</w:t>
      </w:r>
    </w:p>
    <w:p w14:paraId="5CFCFE7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计算上下行信号、噪声、共信道干扰和外部干扰功率。</w:t>
      </w:r>
    </w:p>
    <w:p w14:paraId="3430C4D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建立双链路统一指标代理模型。</w:t>
      </w:r>
    </w:p>
    <w:p w14:paraId="534B4E11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通过生成模型和搜索算法自动生成最坏工况。</w:t>
      </w:r>
    </w:p>
    <w:p w14:paraId="6BC65A6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7. 在最坏工况下进行时频图干扰识别。</w:t>
      </w:r>
    </w:p>
    <w:p w14:paraId="72AC1E7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8. 输出指标摘要、附图和评估结果。</w:t>
      </w:r>
    </w:p>
    <w:p w14:paraId="133EABB6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3.4 建议强调的公式或评价关系</w:t>
      </w:r>
    </w:p>
    <w:p w14:paraId="11F0F40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本节不宜堆太多公式，建议只保留三类最关键表达。</w:t>
      </w:r>
    </w:p>
    <w:p w14:paraId="0FE62B4C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端到端吞吐量：</w:t>
      </w:r>
    </w:p>
    <w:p w14:paraId="5705ED78">
      <w:pPr>
        <w:pStyle w:val="8"/>
        <w:keepNext w:val="0"/>
        <w:keepLines w:val="0"/>
        <w:widowControl/>
        <w:suppressLineNumbers w:val="0"/>
        <w:spacing w:line="13" w:lineRule="atLeast"/>
        <w:rPr>
          <w:color w:val="111827"/>
        </w:rPr>
      </w:pPr>
    </w:p>
    <w:p w14:paraId="21F240E2">
      <w:pPr>
        <w:pStyle w:val="8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THR_E2E(t) = min(THR_DL(t), THR_UL(t))</w:t>
      </w:r>
    </w:p>
    <w:p w14:paraId="263532D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端到端误块率：</w:t>
      </w:r>
    </w:p>
    <w:p w14:paraId="6413A967">
      <w:pPr>
        <w:pStyle w:val="8"/>
        <w:keepNext w:val="0"/>
        <w:keepLines w:val="0"/>
        <w:widowControl/>
        <w:suppressLineNumbers w:val="0"/>
        <w:spacing w:line="13" w:lineRule="atLeast"/>
        <w:rPr>
          <w:color w:val="111827"/>
        </w:rPr>
      </w:pPr>
    </w:p>
    <w:p w14:paraId="130A8AC5">
      <w:pPr>
        <w:pStyle w:val="8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BLER_E2E(t) = max(BLER_DL(t), BLER_UL(t))</w:t>
      </w:r>
    </w:p>
    <w:p w14:paraId="2FC6FF2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最坏工况搜索目标函数：</w:t>
      </w:r>
    </w:p>
    <w:p w14:paraId="2A3A6DEA">
      <w:pPr>
        <w:pStyle w:val="8"/>
        <w:keepNext w:val="0"/>
        <w:keepLines w:val="0"/>
        <w:widowControl/>
        <w:suppressLineNumbers w:val="0"/>
        <w:spacing w:line="13" w:lineRule="atLeast"/>
        <w:rPr>
          <w:color w:val="111827"/>
        </w:rPr>
      </w:pPr>
    </w:p>
    <w:p w14:paraId="723568A4">
      <w:pPr>
        <w:pStyle w:val="8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f = -meanThr + W_outage * outage + W_bler * meanBler + W_energy * penalty</w:t>
      </w:r>
    </w:p>
    <w:p w14:paraId="18F3EA26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3.5 具体实施例</w:t>
      </w:r>
    </w:p>
    <w:p w14:paraId="14B075C0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本节建议直接使用现有平台参数和现有导出结果。</w:t>
      </w:r>
    </w:p>
    <w:p w14:paraId="710E927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建议固定写入以下参数。</w:t>
      </w:r>
    </w:p>
    <w:p w14:paraId="39DDA0E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星座高度 1200 km。</w:t>
      </w:r>
    </w:p>
    <w:p w14:paraId="4912886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轨道倾角 53 度。</w:t>
      </w:r>
    </w:p>
    <w:p w14:paraId="41B8F8D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12 个轨道面、每轨 8 颗卫星。</w:t>
      </w:r>
    </w:p>
    <w:p w14:paraId="7AD14EBB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下行频率 1.5 GHz，上行频率 1.6 GHz。</w:t>
      </w:r>
    </w:p>
    <w:p w14:paraId="6905EC6B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干扰卫星数量 6。</w:t>
      </w:r>
    </w:p>
    <w:p w14:paraId="7FFDF62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抗干扰延迟 30 s。</w:t>
      </w:r>
    </w:p>
    <w:p w14:paraId="3481192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7. 零陷深度 40 dB。</w:t>
      </w:r>
    </w:p>
    <w:p w14:paraId="630EF39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8. 吞吐量门限 20 Mbps。</w:t>
      </w:r>
    </w:p>
    <w:p w14:paraId="7C8A009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建议写入以下结果。</w:t>
      </w:r>
    </w:p>
    <w:p w14:paraId="520FF42A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下行最坏工况中断率 4.42%。</w:t>
      </w:r>
    </w:p>
    <w:p w14:paraId="11AB5AA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上行最坏工况中断率 20.73%。</w:t>
      </w:r>
    </w:p>
    <w:p w14:paraId="62B55AE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端到端最坏工况中断率 21.65%。</w:t>
      </w:r>
    </w:p>
    <w:p w14:paraId="203BB19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端到端平均吞吐量由 73.99 Mbps 下降到 50.57 Mbps。</w:t>
      </w:r>
    </w:p>
    <w:p w14:paraId="7CB6CB66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3.6 关键点和欲保护点</w:t>
      </w:r>
    </w:p>
    <w:p w14:paraId="4A7EB84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本节建议写成代理人可直接提炼权利要求的语言。</w:t>
      </w:r>
    </w:p>
    <w:p w14:paraId="41ABAA9A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低轨时变几何与双链路 EMC 统一建模。</w:t>
      </w:r>
    </w:p>
    <w:p w14:paraId="4A8A571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基于生成模型和搜索算法的最坏工况自动生成。</w:t>
      </w:r>
    </w:p>
    <w:p w14:paraId="77E9601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基于功率对齐 IQ 快照的时频图干扰识别。</w:t>
      </w:r>
    </w:p>
    <w:p w14:paraId="7F345FB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基于端到端指标的统一评价机制。</w:t>
      </w:r>
    </w:p>
    <w:p w14:paraId="01CE3ED3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基于附图和摘要文本的实验室评估结果导出。</w:t>
      </w:r>
    </w:p>
    <w:p w14:paraId="5583FB81">
      <w:pPr>
        <w:pStyle w:val="4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3.7 查新与对比</w:t>
      </w:r>
    </w:p>
    <w:p w14:paraId="271D381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建议至少列出四类对比对象。</w:t>
      </w:r>
    </w:p>
    <w:p w14:paraId="3BC3906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车载卫星通信系统及车辆类专利。</w:t>
      </w:r>
    </w:p>
    <w:p w14:paraId="5E1469E3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卫星通信数据压缩或接入策略类专利。</w:t>
      </w:r>
    </w:p>
    <w:p w14:paraId="52AA4D6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车载天线故障现场检测类交底书。</w:t>
      </w:r>
    </w:p>
    <w:p w14:paraId="2909743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近场电磁环境建模和级联神经网络类交底书。</w:t>
      </w:r>
    </w:p>
    <w:p w14:paraId="28B6C4E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对比描述统一按三句话写。</w:t>
      </w:r>
    </w:p>
    <w:p w14:paraId="417A33BA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对方解决什么问题。</w:t>
      </w:r>
    </w:p>
    <w:p w14:paraId="78E7B12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对方没有覆盖什么。</w:t>
      </w:r>
    </w:p>
    <w:p w14:paraId="054A4902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本发明的区别点是什么。</w:t>
      </w:r>
    </w:p>
    <w:p w14:paraId="6D367572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四、建议附图目录</w:t>
      </w:r>
    </w:p>
    <w:p w14:paraId="5279A10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建议按下列顺序整理附图。</w:t>
      </w:r>
    </w:p>
    <w:p w14:paraId="482E8F0A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图1，方法总体流程图。</w:t>
      </w:r>
    </w:p>
    <w:p w14:paraId="30B9C4F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图2，系统模块结构图。</w:t>
      </w:r>
    </w:p>
    <w:p w14:paraId="5C5DD021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图3，基线与最坏工况指标对比图。</w:t>
      </w:r>
    </w:p>
    <w:p w14:paraId="79EB0413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图4，训练集时频图样例拼图。</w:t>
      </w:r>
    </w:p>
    <w:p w14:paraId="345A29F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图5，测试集混淆矩阵。</w:t>
      </w:r>
    </w:p>
    <w:p w14:paraId="535C8B1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图6，最坏工况关键帧时频图拼图。</w:t>
      </w:r>
    </w:p>
    <w:p w14:paraId="692972A2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五、建议权利要求树</w:t>
      </w:r>
    </w:p>
    <w:p w14:paraId="16D2C81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建议采用“一主三从”的思路展开。</w:t>
      </w:r>
    </w:p>
    <w:p w14:paraId="33AC411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独立权利要求 1：方法权利要求，覆盖整体流程。</w:t>
      </w:r>
    </w:p>
    <w:p w14:paraId="31BDB837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从属权利要求 2：限定低轨场景构建和频率复用。</w:t>
      </w:r>
    </w:p>
    <w:p w14:paraId="2DE01913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从属权利要求 3：限定生成模型和搜索目标函数。</w:t>
      </w:r>
    </w:p>
    <w:p w14:paraId="4225E10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从属权利要求 4：限定功率对齐 IQ 快照和时频图识别。</w:t>
      </w:r>
    </w:p>
    <w:p w14:paraId="1D821B59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从属权利要求 5：限定端到端评价规则。</w:t>
      </w:r>
    </w:p>
    <w:p w14:paraId="3A9DD721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独立权利要求 6：系统权利要求，对应模块划分。</w:t>
      </w:r>
    </w:p>
    <w:p w14:paraId="12AFC5F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7. 独立权利要求 7：设备权利要求。</w:t>
      </w:r>
    </w:p>
    <w:p w14:paraId="5F5B823C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8. 独立权利要求 8：存储介质权利要求。</w:t>
      </w:r>
    </w:p>
    <w:p w14:paraId="1BADF63E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六、建议写作口径</w:t>
      </w:r>
    </w:p>
    <w:p w14:paraId="5D56005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建议全文统一采用如下术语，避免一物多名。</w:t>
      </w:r>
    </w:p>
    <w:p w14:paraId="7F91C60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车载用户终端。</w:t>
      </w:r>
    </w:p>
    <w:p w14:paraId="47E10EFB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网关地面站。</w:t>
      </w:r>
    </w:p>
    <w:p w14:paraId="364154FC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服务卫星。</w:t>
      </w:r>
    </w:p>
    <w:p w14:paraId="6BC5634E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干扰卫星。</w:t>
      </w:r>
    </w:p>
    <w:p w14:paraId="56822CAF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共信道干扰。</w:t>
      </w:r>
    </w:p>
    <w:p w14:paraId="55C862D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最坏工况。</w:t>
      </w:r>
    </w:p>
    <w:p w14:paraId="350A75F1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7. 干扰包络。</w:t>
      </w:r>
    </w:p>
    <w:p w14:paraId="5420E025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8. 时频图。</w:t>
      </w:r>
    </w:p>
    <w:p w14:paraId="7B4057C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9. 双链路。</w:t>
      </w:r>
    </w:p>
    <w:p w14:paraId="17473B8E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10. 端到端评价。</w:t>
      </w:r>
    </w:p>
    <w:p w14:paraId="6A215401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七、发明人后续最好补充的内容</w:t>
      </w:r>
    </w:p>
    <w:p w14:paraId="3B6F9A3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正式申请主体和联系人信息。</w:t>
      </w:r>
    </w:p>
    <w:p w14:paraId="358AA77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若后续具备 MATLAB 运行环境，可补充新的场景截图和曲线图。</w:t>
      </w:r>
    </w:p>
    <w:p w14:paraId="6B307D3A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若后续拿到端口级测量参数，可补充测量换算实施例。</w:t>
      </w:r>
    </w:p>
    <w:p w14:paraId="100E9678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若希望进一步扩大保护范围，可追加“实测校准模块”或“半实物评估模块”作为第二发明点。</w:t>
      </w:r>
    </w:p>
    <w:p w14:paraId="2951267A">
      <w:pPr>
        <w:pStyle w:val="3"/>
        <w:keepNext w:val="0"/>
        <w:keepLines w:val="0"/>
        <w:widowControl/>
        <w:suppressLineNumbers w:val="0"/>
        <w:spacing w:line="13" w:lineRule="atLeast"/>
      </w:pPr>
      <w:r>
        <w:rPr>
          <w:color w:val="111827"/>
        </w:rPr>
        <w:t>八、提交代理前的检查清单</w:t>
      </w:r>
    </w:p>
    <w:p w14:paraId="5062C4E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1. 交底书名称是否已经定稿。</w:t>
      </w:r>
    </w:p>
    <w:p w14:paraId="77E5A66C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2. 联系人和联系方式是否补齐。</w:t>
      </w:r>
    </w:p>
    <w:p w14:paraId="1A00C276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3. 附图文件是否与正文图号一致。</w:t>
      </w:r>
    </w:p>
    <w:p w14:paraId="4123D090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4. 是否提供了可编辑图文件。</w:t>
      </w:r>
    </w:p>
    <w:p w14:paraId="4AC75554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5. 查新对比对象是否不少于三项。</w:t>
      </w:r>
    </w:p>
    <w:p w14:paraId="34A4A82D">
      <w:pPr>
        <w:pStyle w:val="9"/>
        <w:keepNext w:val="0"/>
        <w:keepLines w:val="0"/>
        <w:widowControl/>
        <w:suppressLineNumbers w:val="0"/>
        <w:spacing w:line="13" w:lineRule="atLeast"/>
      </w:pPr>
      <w:r>
        <w:rPr>
          <w:rFonts w:hint="eastAsia" w:ascii="微软雅黑" w:hAnsi="微软雅黑" w:eastAsia="微软雅黑" w:cs="微软雅黑"/>
          <w:color w:val="111827"/>
        </w:rPr>
        <w:t>6. 实施例参数和结果是否前后一致。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6FDD59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135" w:afterAutospacing="0"/>
      <w:ind w:left="0" w:right="0"/>
      <w:jc w:val="left"/>
    </w:pPr>
    <w:rPr>
      <w:rFonts w:hint="eastAsia" w:ascii="宋体" w:hAnsi="宋体" w:eastAsia="宋体" w:cs="宋体"/>
      <w:b/>
      <w:bCs/>
      <w:kern w:val="44"/>
      <w:sz w:val="19"/>
      <w:szCs w:val="19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180" w:beforeAutospacing="0" w:after="75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16"/>
      <w:szCs w:val="1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35" w:beforeAutospacing="0" w:after="60" w:afterAutospacing="0"/>
      <w:ind w:left="0" w:right="0"/>
      <w:jc w:val="left"/>
    </w:pPr>
    <w:rPr>
      <w:rFonts w:hint="eastAsia" w:ascii="宋体" w:hAnsi="宋体" w:eastAsia="宋体" w:cs="宋体"/>
      <w:b/>
      <w:bCs/>
      <w:kern w:val="0"/>
      <w:sz w:val="13"/>
      <w:szCs w:val="13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D1D5DB" w:sz="2" w:space="4"/>
        <w:left w:val="single" w:color="D1D5DB" w:sz="2" w:space="4"/>
        <w:bottom w:val="single" w:color="D1D5DB" w:sz="2" w:space="4"/>
        <w:right w:val="single" w:color="D1D5DB" w:sz="2" w:space="4"/>
      </w:pBdr>
      <w:shd w:val="clear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2"/>
      <w:szCs w:val="22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blank"/>
    <w:basedOn w:val="1"/>
    <w:uiPriority w:val="0"/>
    <w:pPr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2026-03-22T11:09:00Z</dcterms:created>
  <cp:lastModifiedBy>52834</cp:lastModifiedBy>
  <dcterms:modified xsi:type="dcterms:W3CDTF">2026-03-22T11:09:00Z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9672E44FB037457D84254F35242F4A82_13</vt:lpwstr>
  </property>
</Properties>
</file>