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rPr>
          <w:rFonts w:hint="eastAsia" w:ascii="Segoe UI" w:hAnsi="Segoe UI" w:eastAsia="宋体" w:cs="Segoe UI"/>
          <w:i w:val="0"/>
          <w:iCs w:val="0"/>
          <w:caps w:val="0"/>
          <w:color w:val="0F1115"/>
          <w:spacing w:val="0"/>
          <w:sz w:val="24"/>
          <w:szCs w:val="24"/>
          <w:shd w:val="clear" w:fill="FFFFFF"/>
          <w:lang w:eastAsia="zh-CN"/>
        </w:rPr>
      </w:pPr>
      <w:r>
        <w:rPr>
          <w:rFonts w:ascii="Segoe UI" w:hAnsi="Segoe UI" w:eastAsia="Segoe UI" w:cs="Segoe UI"/>
          <w:i w:val="0"/>
          <w:iCs w:val="0"/>
          <w:caps w:val="0"/>
          <w:color w:val="0F1115"/>
          <w:spacing w:val="0"/>
          <w:sz w:val="24"/>
          <w:szCs w:val="24"/>
          <w:shd w:val="clear" w:fill="FFFFFF"/>
        </w:rPr>
        <w:t>车载卫星通信方法、装置、设备及存储介质</w:t>
      </w:r>
      <w:r>
        <w:rPr>
          <w:rFonts w:hint="eastAsia" w:ascii="Segoe UI" w:hAnsi="Segoe UI" w:eastAsia="宋体" w:cs="Segoe UI"/>
          <w:i w:val="0"/>
          <w:iCs w:val="0"/>
          <w:caps w:val="0"/>
          <w:color w:val="0F1115"/>
          <w:spacing w:val="0"/>
          <w:sz w:val="24"/>
          <w:szCs w:val="24"/>
          <w:shd w:val="clear" w:fill="FFFFFF"/>
          <w:lang w:eastAsia="zh-CN"/>
        </w:rPr>
        <w:t>：</w:t>
      </w:r>
    </w:p>
    <w:p w14:paraId="1ABA7494">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 可能间接涉及EMC设计的隐含内容分析：</w:t>
      </w:r>
    </w:p>
    <w:tbl>
      <w:tblPr>
        <w:tblW w:w="93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9"/>
        <w:gridCol w:w="1742"/>
        <w:gridCol w:w="5118"/>
      </w:tblGrid>
      <w:tr w14:paraId="4454E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13" w:hRule="atLeast"/>
          <w:tblHeader/>
        </w:trPr>
        <w:tc>
          <w:tcPr>
            <w:tcW w:w="0" w:type="auto"/>
            <w:tcBorders>
              <w:top w:val="nil"/>
            </w:tcBorders>
            <w:shd w:val="clear"/>
            <w:tcMar>
              <w:top w:w="150" w:type="dxa"/>
              <w:left w:w="0" w:type="dxa"/>
              <w:bottom w:w="150" w:type="dxa"/>
              <w:right w:w="240" w:type="dxa"/>
            </w:tcMar>
            <w:vAlign w:val="center"/>
          </w:tcPr>
          <w:p w14:paraId="1E428F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内容描述</w:t>
            </w:r>
          </w:p>
        </w:tc>
        <w:tc>
          <w:tcPr>
            <w:tcW w:w="0" w:type="auto"/>
            <w:tcBorders>
              <w:top w:val="nil"/>
            </w:tcBorders>
            <w:shd w:val="clear"/>
            <w:tcMar>
              <w:top w:w="150" w:type="dxa"/>
              <w:left w:w="240" w:type="dxa"/>
              <w:bottom w:w="150" w:type="dxa"/>
              <w:right w:w="240" w:type="dxa"/>
            </w:tcMar>
            <w:vAlign w:val="center"/>
          </w:tcPr>
          <w:p w14:paraId="48ABD9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相关页码</w:t>
            </w:r>
          </w:p>
        </w:tc>
        <w:tc>
          <w:tcPr>
            <w:tcW w:w="0" w:type="auto"/>
            <w:tcBorders>
              <w:top w:val="nil"/>
            </w:tcBorders>
            <w:shd w:val="clear"/>
            <w:tcMar>
              <w:top w:w="150" w:type="dxa"/>
              <w:left w:w="240" w:type="dxa"/>
              <w:bottom w:w="150" w:type="dxa"/>
              <w:right w:w="240" w:type="dxa"/>
            </w:tcMar>
            <w:vAlign w:val="center"/>
          </w:tcPr>
          <w:p w14:paraId="7A921E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16BD3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4" w:hRule="atLeast"/>
        </w:trPr>
        <w:tc>
          <w:tcPr>
            <w:tcW w:w="0" w:type="auto"/>
            <w:shd w:val="clear"/>
            <w:tcMar>
              <w:top w:w="150" w:type="dxa"/>
              <w:left w:w="0" w:type="dxa"/>
              <w:bottom w:w="150" w:type="dxa"/>
              <w:right w:w="240" w:type="dxa"/>
            </w:tcMar>
            <w:vAlign w:val="center"/>
          </w:tcPr>
          <w:p w14:paraId="6C4D9C8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车辆内配置有卫星通信模块和蜂窝通信模块</w:t>
            </w:r>
          </w:p>
        </w:tc>
        <w:tc>
          <w:tcPr>
            <w:tcW w:w="0" w:type="auto"/>
            <w:shd w:val="clear"/>
            <w:tcMar>
              <w:top w:w="150" w:type="dxa"/>
              <w:left w:w="240" w:type="dxa"/>
              <w:bottom w:w="150" w:type="dxa"/>
              <w:right w:w="240" w:type="dxa"/>
            </w:tcMar>
            <w:vAlign w:val="center"/>
          </w:tcPr>
          <w:p w14:paraId="242755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全文多处（如第1、4页）</w:t>
            </w:r>
          </w:p>
        </w:tc>
        <w:tc>
          <w:tcPr>
            <w:tcW w:w="0" w:type="auto"/>
            <w:shd w:val="clear"/>
            <w:tcMar>
              <w:top w:w="150" w:type="dxa"/>
              <w:left w:w="240" w:type="dxa"/>
              <w:bottom w:w="150" w:type="dxa"/>
              <w:right w:w="0" w:type="dxa"/>
            </w:tcMar>
            <w:vAlign w:val="center"/>
          </w:tcPr>
          <w:p w14:paraId="132ECF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多通信模块共存于车辆狭小空间，</w:t>
            </w:r>
            <w:r>
              <w:rPr>
                <w:rStyle w:val="8"/>
                <w:rFonts w:hint="default" w:ascii="Segoe UI" w:hAnsi="Segoe UI" w:eastAsia="Segoe UI" w:cs="Segoe UI"/>
                <w:b/>
                <w:bCs/>
                <w:kern w:val="0"/>
                <w:sz w:val="22"/>
                <w:szCs w:val="22"/>
                <w:bdr w:val="none" w:color="auto" w:sz="0" w:space="0"/>
                <w:lang w:val="en-US" w:eastAsia="zh-CN" w:bidi="ar"/>
              </w:rPr>
              <w:t>隐含了对模块间电磁干扰的控制需求</w:t>
            </w:r>
            <w:r>
              <w:rPr>
                <w:rFonts w:hint="default" w:ascii="Segoe UI" w:hAnsi="Segoe UI" w:eastAsia="Segoe UI" w:cs="Segoe UI"/>
                <w:kern w:val="0"/>
                <w:sz w:val="22"/>
                <w:szCs w:val="22"/>
                <w:bdr w:val="none" w:color="auto" w:sz="0" w:space="0"/>
                <w:lang w:val="en-US" w:eastAsia="zh-CN" w:bidi="ar"/>
              </w:rPr>
              <w:t>，属于EMC系统设计范畴。</w:t>
            </w:r>
          </w:p>
        </w:tc>
      </w:tr>
      <w:tr w14:paraId="5AA48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54" w:hRule="atLeast"/>
        </w:trPr>
        <w:tc>
          <w:tcPr>
            <w:tcW w:w="0" w:type="auto"/>
            <w:shd w:val="clear"/>
            <w:tcMar>
              <w:top w:w="150" w:type="dxa"/>
              <w:left w:w="0" w:type="dxa"/>
              <w:bottom w:w="150" w:type="dxa"/>
              <w:right w:w="240" w:type="dxa"/>
            </w:tcMar>
            <w:vAlign w:val="center"/>
          </w:tcPr>
          <w:p w14:paraId="60C942A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信号质量监测（RSRP、SINR）</w:t>
            </w:r>
          </w:p>
        </w:tc>
        <w:tc>
          <w:tcPr>
            <w:tcW w:w="0" w:type="auto"/>
            <w:shd w:val="clear"/>
            <w:tcMar>
              <w:top w:w="150" w:type="dxa"/>
              <w:left w:w="240" w:type="dxa"/>
              <w:bottom w:w="150" w:type="dxa"/>
              <w:right w:w="240" w:type="dxa"/>
            </w:tcMar>
            <w:vAlign w:val="center"/>
          </w:tcPr>
          <w:p w14:paraId="7B1980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第5、8页</w:t>
            </w:r>
          </w:p>
        </w:tc>
        <w:tc>
          <w:tcPr>
            <w:tcW w:w="0" w:type="auto"/>
            <w:shd w:val="clear"/>
            <w:tcMar>
              <w:top w:w="150" w:type="dxa"/>
              <w:left w:w="240" w:type="dxa"/>
              <w:bottom w:w="150" w:type="dxa"/>
              <w:right w:w="0" w:type="dxa"/>
            </w:tcMar>
            <w:vAlign w:val="center"/>
          </w:tcPr>
          <w:p w14:paraId="78B7C9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信号强度的监测与判断，</w:t>
            </w:r>
            <w:r>
              <w:rPr>
                <w:rStyle w:val="8"/>
                <w:rFonts w:hint="default" w:ascii="Segoe UI" w:hAnsi="Segoe UI" w:eastAsia="Segoe UI" w:cs="Segoe UI"/>
                <w:b/>
                <w:bCs/>
                <w:kern w:val="0"/>
                <w:sz w:val="22"/>
                <w:szCs w:val="22"/>
                <w:bdr w:val="none" w:color="auto" w:sz="0" w:space="0"/>
                <w:lang w:val="en-US" w:eastAsia="zh-CN" w:bidi="ar"/>
              </w:rPr>
              <w:t>间接反映了对通信系统抗干扰能力的要求</w:t>
            </w:r>
            <w:r>
              <w:rPr>
                <w:rFonts w:hint="default" w:ascii="Segoe UI" w:hAnsi="Segoe UI" w:eastAsia="Segoe UI" w:cs="Segoe UI"/>
                <w:kern w:val="0"/>
                <w:sz w:val="22"/>
                <w:szCs w:val="22"/>
                <w:bdr w:val="none" w:color="auto" w:sz="0" w:space="0"/>
                <w:lang w:val="en-US" w:eastAsia="zh-CN" w:bidi="ar"/>
              </w:rPr>
              <w:t>，可视为EMC性能的一部分。</w:t>
            </w:r>
          </w:p>
        </w:tc>
      </w:tr>
      <w:tr w14:paraId="3A551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4" w:hRule="atLeast"/>
        </w:trPr>
        <w:tc>
          <w:tcPr>
            <w:tcW w:w="0" w:type="auto"/>
            <w:shd w:val="clear"/>
            <w:tcMar>
              <w:top w:w="150" w:type="dxa"/>
              <w:left w:w="0" w:type="dxa"/>
              <w:bottom w:w="150" w:type="dxa"/>
              <w:right w:w="240" w:type="dxa"/>
            </w:tcMar>
            <w:vAlign w:val="center"/>
          </w:tcPr>
          <w:p w14:paraId="556FCC73">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小区选择与驻留机制</w:t>
            </w:r>
          </w:p>
        </w:tc>
        <w:tc>
          <w:tcPr>
            <w:tcW w:w="0" w:type="auto"/>
            <w:shd w:val="clear"/>
            <w:tcMar>
              <w:top w:w="150" w:type="dxa"/>
              <w:left w:w="240" w:type="dxa"/>
              <w:bottom w:w="150" w:type="dxa"/>
              <w:right w:w="240" w:type="dxa"/>
            </w:tcMar>
            <w:vAlign w:val="center"/>
          </w:tcPr>
          <w:p w14:paraId="2EC432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第6、9页</w:t>
            </w:r>
          </w:p>
        </w:tc>
        <w:tc>
          <w:tcPr>
            <w:tcW w:w="0" w:type="auto"/>
            <w:shd w:val="clear"/>
            <w:tcMar>
              <w:top w:w="150" w:type="dxa"/>
              <w:left w:w="240" w:type="dxa"/>
              <w:bottom w:w="150" w:type="dxa"/>
              <w:right w:w="0" w:type="dxa"/>
            </w:tcMar>
            <w:vAlign w:val="center"/>
          </w:tcPr>
          <w:p w14:paraId="7761A1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通过测量接收电平、功率补偿等参数选择最佳小区，</w:t>
            </w:r>
            <w:r>
              <w:rPr>
                <w:rStyle w:val="8"/>
                <w:rFonts w:hint="default" w:ascii="Segoe UI" w:hAnsi="Segoe UI" w:eastAsia="Segoe UI" w:cs="Segoe UI"/>
                <w:b/>
                <w:bCs/>
                <w:kern w:val="0"/>
                <w:sz w:val="22"/>
                <w:szCs w:val="22"/>
                <w:bdr w:val="none" w:color="auto" w:sz="0" w:space="0"/>
                <w:lang w:val="en-US" w:eastAsia="zh-CN" w:bidi="ar"/>
              </w:rPr>
              <w:t>隐含了对接收机灵敏度和抗干扰性能的考虑</w:t>
            </w:r>
            <w:r>
              <w:rPr>
                <w:rFonts w:hint="default" w:ascii="Segoe UI" w:hAnsi="Segoe UI" w:eastAsia="Segoe UI" w:cs="Segoe UI"/>
                <w:kern w:val="0"/>
                <w:sz w:val="22"/>
                <w:szCs w:val="22"/>
                <w:bdr w:val="none" w:color="auto" w:sz="0" w:space="0"/>
                <w:lang w:val="en-US" w:eastAsia="zh-CN" w:bidi="ar"/>
              </w:rPr>
              <w:t>，与EMC接收性能相关。</w:t>
            </w:r>
          </w:p>
        </w:tc>
      </w:tr>
      <w:tr w14:paraId="10A6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54" w:hRule="atLeast"/>
        </w:trPr>
        <w:tc>
          <w:tcPr>
            <w:tcW w:w="0" w:type="auto"/>
            <w:shd w:val="clear"/>
            <w:tcMar>
              <w:top w:w="150" w:type="dxa"/>
              <w:left w:w="0" w:type="dxa"/>
              <w:bottom w:w="150" w:type="dxa"/>
              <w:right w:w="240" w:type="dxa"/>
            </w:tcMar>
            <w:vAlign w:val="center"/>
          </w:tcPr>
          <w:p w14:paraId="015F4A30">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模块电源管理（关闭卫星模块）</w:t>
            </w:r>
          </w:p>
        </w:tc>
        <w:tc>
          <w:tcPr>
            <w:tcW w:w="0" w:type="auto"/>
            <w:shd w:val="clear"/>
            <w:tcMar>
              <w:top w:w="150" w:type="dxa"/>
              <w:left w:w="240" w:type="dxa"/>
              <w:bottom w:w="150" w:type="dxa"/>
              <w:right w:w="240" w:type="dxa"/>
            </w:tcMar>
            <w:vAlign w:val="center"/>
          </w:tcPr>
          <w:p w14:paraId="469439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第5、9页</w:t>
            </w:r>
          </w:p>
        </w:tc>
        <w:tc>
          <w:tcPr>
            <w:tcW w:w="0" w:type="auto"/>
            <w:shd w:val="clear"/>
            <w:tcMar>
              <w:top w:w="150" w:type="dxa"/>
              <w:left w:w="240" w:type="dxa"/>
              <w:bottom w:w="150" w:type="dxa"/>
              <w:right w:w="0" w:type="dxa"/>
            </w:tcMar>
            <w:vAlign w:val="center"/>
          </w:tcPr>
          <w:p w14:paraId="0CF166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在信号持续不良时关闭卫星模块，</w:t>
            </w:r>
            <w:r>
              <w:rPr>
                <w:rStyle w:val="8"/>
                <w:rFonts w:hint="default" w:ascii="Segoe UI" w:hAnsi="Segoe UI" w:eastAsia="Segoe UI" w:cs="Segoe UI"/>
                <w:b/>
                <w:bCs/>
                <w:kern w:val="0"/>
                <w:sz w:val="22"/>
                <w:szCs w:val="22"/>
                <w:bdr w:val="none" w:color="auto" w:sz="0" w:space="0"/>
                <w:lang w:val="en-US" w:eastAsia="zh-CN" w:bidi="ar"/>
              </w:rPr>
              <w:t>可视为对系统功耗和潜在干扰的控制</w:t>
            </w:r>
            <w:r>
              <w:rPr>
                <w:rFonts w:hint="default" w:ascii="Segoe UI" w:hAnsi="Segoe UI" w:eastAsia="Segoe UI" w:cs="Segoe UI"/>
                <w:kern w:val="0"/>
                <w:sz w:val="22"/>
                <w:szCs w:val="22"/>
                <w:bdr w:val="none" w:color="auto" w:sz="0" w:space="0"/>
                <w:lang w:val="en-US" w:eastAsia="zh-CN" w:bidi="ar"/>
              </w:rPr>
              <w:t>，属于EMC中的电源管理与发射控制。</w:t>
            </w:r>
          </w:p>
        </w:tc>
      </w:tr>
    </w:tbl>
    <w:p w14:paraId="704014F5">
      <w:pPr>
        <w:pStyle w:val="2"/>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总结：</w:t>
      </w:r>
    </w:p>
    <w:p w14:paraId="07DA5B5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该专利</w:t>
      </w:r>
      <w:r>
        <w:rPr>
          <w:rStyle w:val="8"/>
          <w:rFonts w:hint="default" w:ascii="Segoe UI" w:hAnsi="Segoe UI" w:eastAsia="Segoe UI" w:cs="Segoe UI"/>
          <w:b/>
          <w:bCs/>
          <w:i w:val="0"/>
          <w:iCs w:val="0"/>
          <w:caps w:val="0"/>
          <w:color w:val="0F1115"/>
          <w:spacing w:val="0"/>
          <w:sz w:val="24"/>
          <w:szCs w:val="24"/>
          <w:shd w:val="clear" w:fill="FFFFFF"/>
        </w:rPr>
        <w:t>未明确提及EMC技术、标准或测试要求</w:t>
      </w:r>
      <w:r>
        <w:rPr>
          <w:rFonts w:hint="default" w:ascii="Segoe UI" w:hAnsi="Segoe UI" w:eastAsia="Segoe UI" w:cs="Segoe UI"/>
          <w:i w:val="0"/>
          <w:iCs w:val="0"/>
          <w:caps w:val="0"/>
          <w:color w:val="0F1115"/>
          <w:spacing w:val="0"/>
          <w:sz w:val="24"/>
          <w:szCs w:val="24"/>
          <w:shd w:val="clear" w:fill="FFFFFF"/>
        </w:rPr>
        <w:t>。</w:t>
      </w:r>
    </w:p>
    <w:p w14:paraId="73FA4B9A">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从通信系统集成角度看，</w:t>
      </w:r>
      <w:r>
        <w:rPr>
          <w:rStyle w:val="8"/>
          <w:rFonts w:hint="default" w:ascii="Segoe UI" w:hAnsi="Segoe UI" w:eastAsia="Segoe UI" w:cs="Segoe UI"/>
          <w:b/>
          <w:bCs/>
          <w:i w:val="0"/>
          <w:iCs w:val="0"/>
          <w:caps w:val="0"/>
          <w:color w:val="0F1115"/>
          <w:spacing w:val="0"/>
          <w:sz w:val="24"/>
          <w:szCs w:val="24"/>
          <w:shd w:val="clear" w:fill="FFFFFF"/>
        </w:rPr>
        <w:t>存在对多模块共存、信号稳定性、电源管理的设计考虑</w:t>
      </w:r>
      <w:r>
        <w:rPr>
          <w:rFonts w:hint="default" w:ascii="Segoe UI" w:hAnsi="Segoe UI" w:eastAsia="Segoe UI" w:cs="Segoe UI"/>
          <w:i w:val="0"/>
          <w:iCs w:val="0"/>
          <w:caps w:val="0"/>
          <w:color w:val="0F1115"/>
          <w:spacing w:val="0"/>
          <w:sz w:val="24"/>
          <w:szCs w:val="24"/>
          <w:shd w:val="clear" w:fill="FFFFFF"/>
        </w:rPr>
        <w:t>，这些在实现时通常需要满足EMC规范，但</w:t>
      </w:r>
      <w:r>
        <w:rPr>
          <w:rStyle w:val="8"/>
          <w:rFonts w:hint="default" w:ascii="Segoe UI" w:hAnsi="Segoe UI" w:eastAsia="Segoe UI" w:cs="Segoe UI"/>
          <w:b/>
          <w:bCs/>
          <w:i w:val="0"/>
          <w:iCs w:val="0"/>
          <w:caps w:val="0"/>
          <w:color w:val="0F1115"/>
          <w:spacing w:val="0"/>
          <w:sz w:val="24"/>
          <w:szCs w:val="24"/>
          <w:shd w:val="clear" w:fill="FFFFFF"/>
        </w:rPr>
        <w:t>专利中并未展开说明</w:t>
      </w:r>
      <w:r>
        <w:rPr>
          <w:rFonts w:hint="default" w:ascii="Segoe UI" w:hAnsi="Segoe UI" w:eastAsia="Segoe UI" w:cs="Segoe UI"/>
          <w:i w:val="0"/>
          <w:iCs w:val="0"/>
          <w:caps w:val="0"/>
          <w:color w:val="0F1115"/>
          <w:spacing w:val="0"/>
          <w:sz w:val="24"/>
          <w:szCs w:val="24"/>
          <w:shd w:val="clear" w:fill="FFFFFF"/>
        </w:rPr>
        <w:t>。</w:t>
      </w:r>
    </w:p>
    <w:p w14:paraId="5CA83B59">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若需进一步确认是否包含EMC设计，建议查阅该专利的</w:t>
      </w:r>
      <w:r>
        <w:rPr>
          <w:rStyle w:val="8"/>
          <w:rFonts w:hint="default" w:ascii="Segoe UI" w:hAnsi="Segoe UI" w:eastAsia="Segoe UI" w:cs="Segoe UI"/>
          <w:b/>
          <w:bCs/>
          <w:i w:val="0"/>
          <w:iCs w:val="0"/>
          <w:caps w:val="0"/>
          <w:color w:val="0F1115"/>
          <w:spacing w:val="0"/>
          <w:sz w:val="24"/>
          <w:szCs w:val="24"/>
          <w:shd w:val="clear" w:fill="FFFFFF"/>
        </w:rPr>
        <w:t>硬件设计附图、实施例详细说明或后续审查过程中的补充文件</w:t>
      </w:r>
      <w:r>
        <w:rPr>
          <w:rFonts w:hint="default" w:ascii="Segoe UI" w:hAnsi="Segoe UI" w:eastAsia="Segoe UI" w:cs="Segoe UI"/>
          <w:i w:val="0"/>
          <w:iCs w:val="0"/>
          <w:caps w:val="0"/>
          <w:color w:val="0F1115"/>
          <w:spacing w:val="0"/>
          <w:sz w:val="24"/>
          <w:szCs w:val="24"/>
          <w:shd w:val="clear" w:fill="FFFFFF"/>
        </w:rPr>
        <w:t>。</w:t>
      </w:r>
    </w:p>
    <w:p w14:paraId="415DFFAE">
      <w:pPr>
        <w:rPr>
          <w:rFonts w:hint="eastAsia" w:ascii="Segoe UI" w:hAnsi="Segoe UI" w:eastAsia="宋体" w:cs="Segoe UI"/>
          <w:i w:val="0"/>
          <w:iCs w:val="0"/>
          <w:caps w:val="0"/>
          <w:color w:val="0F1115"/>
          <w:spacing w:val="0"/>
          <w:sz w:val="24"/>
          <w:szCs w:val="24"/>
          <w:shd w:val="clear" w:fill="FFFFFF"/>
          <w:lang w:eastAsia="zh-CN"/>
        </w:rPr>
      </w:pPr>
    </w:p>
    <w:p w14:paraId="52DCD1DA">
      <w:pPr>
        <w:rPr>
          <w:rFonts w:hint="eastAsia" w:ascii="Segoe UI" w:hAnsi="Segoe UI" w:eastAsia="宋体" w:cs="Segoe UI"/>
          <w:i w:val="0"/>
          <w:iCs w:val="0"/>
          <w:caps w:val="0"/>
          <w:color w:val="0F1115"/>
          <w:spacing w:val="0"/>
          <w:sz w:val="24"/>
          <w:szCs w:val="24"/>
          <w:shd w:val="clear" w:fill="FFFFFF"/>
          <w:lang w:eastAsia="zh-CN"/>
        </w:rPr>
      </w:pPr>
    </w:p>
    <w:p w14:paraId="2EB2EFD5">
      <w:pPr>
        <w:rPr>
          <w:rFonts w:hint="eastAsia" w:ascii="Segoe UI" w:hAnsi="Segoe UI" w:eastAsia="宋体" w:cs="Segoe UI"/>
          <w:i w:val="0"/>
          <w:iCs w:val="0"/>
          <w:caps w:val="0"/>
          <w:color w:val="0F1115"/>
          <w:spacing w:val="0"/>
          <w:sz w:val="24"/>
          <w:szCs w:val="24"/>
          <w:shd w:val="clear" w:fill="FFFFFF"/>
          <w:lang w:eastAsia="zh-CN"/>
        </w:rPr>
      </w:pPr>
    </w:p>
    <w:p w14:paraId="3570D3A1">
      <w:pPr>
        <w:rPr>
          <w:rFonts w:hint="eastAsia" w:ascii="Segoe UI" w:hAnsi="Segoe UI" w:eastAsia="宋体" w:cs="Segoe UI"/>
          <w:i w:val="0"/>
          <w:iCs w:val="0"/>
          <w:caps w:val="0"/>
          <w:color w:val="0F1115"/>
          <w:spacing w:val="0"/>
          <w:sz w:val="24"/>
          <w:szCs w:val="24"/>
          <w:shd w:val="clear" w:fill="FFFFFF"/>
          <w:lang w:eastAsia="zh-CN"/>
        </w:rPr>
      </w:pPr>
    </w:p>
    <w:p w14:paraId="1D5183AF">
      <w:pPr>
        <w:rPr>
          <w:rFonts w:hint="eastAsia" w:ascii="Segoe UI" w:hAnsi="Segoe UI" w:eastAsia="宋体" w:cs="Segoe UI"/>
          <w:i w:val="0"/>
          <w:iCs w:val="0"/>
          <w:caps w:val="0"/>
          <w:color w:val="0F1115"/>
          <w:spacing w:val="0"/>
          <w:sz w:val="24"/>
          <w:szCs w:val="24"/>
          <w:shd w:val="clear" w:fill="FFFFFF"/>
          <w:lang w:val="en-US" w:eastAsia="zh-CN"/>
        </w:rPr>
      </w:pPr>
      <w:r>
        <w:rPr>
          <w:rFonts w:ascii="Segoe UI" w:hAnsi="Segoe UI" w:eastAsia="Segoe UI" w:cs="Segoe UI"/>
          <w:i w:val="0"/>
          <w:iCs w:val="0"/>
          <w:caps w:val="0"/>
          <w:color w:val="0F1115"/>
          <w:spacing w:val="0"/>
          <w:sz w:val="24"/>
          <w:szCs w:val="24"/>
          <w:shd w:val="clear" w:fill="FFFFFF"/>
        </w:rPr>
        <w:t>车载卫星通信系统收发能力下线检测方法、装置、设备及介质</w:t>
      </w:r>
      <w:r>
        <w:rPr>
          <w:rFonts w:hint="eastAsia" w:ascii="Segoe UI" w:hAnsi="Segoe UI" w:eastAsia="宋体" w:cs="Segoe UI"/>
          <w:i w:val="0"/>
          <w:iCs w:val="0"/>
          <w:caps w:val="0"/>
          <w:color w:val="0F1115"/>
          <w:spacing w:val="0"/>
          <w:sz w:val="24"/>
          <w:szCs w:val="24"/>
          <w:shd w:val="clear" w:fill="FFFFFF"/>
          <w:lang w:val="en-US" w:eastAsia="zh-CN"/>
        </w:rPr>
        <w:t>:</w:t>
      </w:r>
    </w:p>
    <w:p w14:paraId="3892D1A3">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明确的EMC相关技术内容分析：</w:t>
      </w:r>
    </w:p>
    <w:tbl>
      <w:tblPr>
        <w:tblW w:w="95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5"/>
        <w:gridCol w:w="4888"/>
        <w:gridCol w:w="3416"/>
      </w:tblGrid>
      <w:tr w14:paraId="4FE87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2" w:hRule="atLeast"/>
          <w:tblHeader/>
        </w:trPr>
        <w:tc>
          <w:tcPr>
            <w:tcW w:w="0" w:type="auto"/>
            <w:tcBorders>
              <w:top w:val="nil"/>
            </w:tcBorders>
            <w:shd w:val="clear"/>
            <w:tcMar>
              <w:top w:w="150" w:type="dxa"/>
              <w:left w:w="0" w:type="dxa"/>
              <w:bottom w:w="150" w:type="dxa"/>
              <w:right w:w="240" w:type="dxa"/>
            </w:tcMar>
            <w:vAlign w:val="center"/>
          </w:tcPr>
          <w:p w14:paraId="0FF903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EMC相关技术点</w:t>
            </w:r>
          </w:p>
        </w:tc>
        <w:tc>
          <w:tcPr>
            <w:tcW w:w="0" w:type="auto"/>
            <w:tcBorders>
              <w:top w:val="nil"/>
            </w:tcBorders>
            <w:shd w:val="clear"/>
            <w:tcMar>
              <w:top w:w="150" w:type="dxa"/>
              <w:left w:w="240" w:type="dxa"/>
              <w:bottom w:w="150" w:type="dxa"/>
              <w:right w:w="240" w:type="dxa"/>
            </w:tcMar>
            <w:vAlign w:val="center"/>
          </w:tcPr>
          <w:p w14:paraId="40DD4A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内容描述</w:t>
            </w:r>
          </w:p>
        </w:tc>
        <w:tc>
          <w:tcPr>
            <w:tcW w:w="0" w:type="auto"/>
            <w:tcBorders>
              <w:top w:val="nil"/>
            </w:tcBorders>
            <w:shd w:val="clear"/>
            <w:tcMar>
              <w:top w:w="150" w:type="dxa"/>
              <w:left w:w="240" w:type="dxa"/>
              <w:bottom w:w="150" w:type="dxa"/>
              <w:right w:w="240" w:type="dxa"/>
            </w:tcMar>
            <w:vAlign w:val="center"/>
          </w:tcPr>
          <w:p w14:paraId="2CA708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相关页码</w:t>
            </w:r>
          </w:p>
        </w:tc>
      </w:tr>
      <w:tr w14:paraId="2F4EC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65" w:hRule="atLeast"/>
        </w:trPr>
        <w:tc>
          <w:tcPr>
            <w:tcW w:w="0" w:type="auto"/>
            <w:shd w:val="clear"/>
            <w:tcMar>
              <w:top w:w="150" w:type="dxa"/>
              <w:left w:w="0" w:type="dxa"/>
              <w:bottom w:w="150" w:type="dxa"/>
              <w:right w:w="240" w:type="dxa"/>
            </w:tcMar>
            <w:vAlign w:val="center"/>
          </w:tcPr>
          <w:p w14:paraId="3A37A321">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天线开路/短路故障检测</w:t>
            </w:r>
          </w:p>
        </w:tc>
        <w:tc>
          <w:tcPr>
            <w:tcW w:w="0" w:type="auto"/>
            <w:shd w:val="clear"/>
            <w:tcMar>
              <w:top w:w="150" w:type="dxa"/>
              <w:left w:w="240" w:type="dxa"/>
              <w:bottom w:w="150" w:type="dxa"/>
              <w:right w:w="240" w:type="dxa"/>
            </w:tcMar>
            <w:vAlign w:val="center"/>
          </w:tcPr>
          <w:p w14:paraId="3861A0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在故障码读取过程中，</w:t>
            </w:r>
            <w:r>
              <w:rPr>
                <w:rStyle w:val="8"/>
                <w:rFonts w:hint="default" w:ascii="Segoe UI" w:hAnsi="Segoe UI" w:eastAsia="Segoe UI" w:cs="Segoe UI"/>
                <w:b/>
                <w:bCs/>
                <w:kern w:val="0"/>
                <w:sz w:val="22"/>
                <w:szCs w:val="22"/>
                <w:bdr w:val="none" w:color="auto" w:sz="0" w:space="0"/>
                <w:lang w:val="en-US" w:eastAsia="zh-CN" w:bidi="ar"/>
              </w:rPr>
              <w:t>明确检测车载卫星通信天线是否存在开路或短路</w:t>
            </w:r>
            <w:r>
              <w:rPr>
                <w:rFonts w:hint="default" w:ascii="Segoe UI" w:hAnsi="Segoe UI" w:eastAsia="Segoe UI" w:cs="Segoe UI"/>
                <w:kern w:val="0"/>
                <w:sz w:val="22"/>
                <w:szCs w:val="22"/>
                <w:bdr w:val="none" w:color="auto" w:sz="0" w:space="0"/>
                <w:lang w:val="en-US" w:eastAsia="zh-CN" w:bidi="ar"/>
              </w:rPr>
              <w:t>。天线开路/短路是典型的EMC相关故障，直接影响系统的电磁发射和接收性能。</w:t>
            </w:r>
          </w:p>
        </w:tc>
        <w:tc>
          <w:tcPr>
            <w:tcW w:w="0" w:type="auto"/>
            <w:shd w:val="clear"/>
            <w:tcMar>
              <w:top w:w="150" w:type="dxa"/>
              <w:left w:w="240" w:type="dxa"/>
              <w:bottom w:w="150" w:type="dxa"/>
              <w:right w:w="0" w:type="dxa"/>
            </w:tcMar>
            <w:vAlign w:val="center"/>
          </w:tcPr>
          <w:p w14:paraId="715AE06A">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第2页</w:t>
            </w:r>
            <w:r>
              <w:rPr>
                <w:rFonts w:hint="default" w:ascii="Segoe UI" w:hAnsi="Segoe UI" w:eastAsia="Segoe UI" w:cs="Segoe UI"/>
                <w:kern w:val="0"/>
                <w:sz w:val="22"/>
                <w:szCs w:val="22"/>
                <w:bdr w:val="none" w:color="auto" w:sz="0" w:space="0"/>
                <w:lang w:val="en-US" w:eastAsia="zh-CN" w:bidi="ar"/>
              </w:rPr>
              <w:t>（权利要求4）、</w:t>
            </w:r>
            <w:r>
              <w:rPr>
                <w:rStyle w:val="8"/>
                <w:rFonts w:hint="default" w:ascii="Segoe UI" w:hAnsi="Segoe UI" w:eastAsia="Segoe UI" w:cs="Segoe UI"/>
                <w:b/>
                <w:bCs/>
                <w:kern w:val="0"/>
                <w:sz w:val="22"/>
                <w:szCs w:val="22"/>
                <w:bdr w:val="none" w:color="auto" w:sz="0" w:space="0"/>
                <w:lang w:val="en-US" w:eastAsia="zh-CN" w:bidi="ar"/>
              </w:rPr>
              <w:t>第5页</w:t>
            </w:r>
            <w:r>
              <w:rPr>
                <w:rFonts w:hint="default" w:ascii="Segoe UI" w:hAnsi="Segoe UI" w:eastAsia="Segoe UI" w:cs="Segoe UI"/>
                <w:kern w:val="0"/>
                <w:sz w:val="22"/>
                <w:szCs w:val="22"/>
                <w:bdr w:val="none" w:color="auto" w:sz="0" w:space="0"/>
                <w:lang w:val="en-US" w:eastAsia="zh-CN" w:bidi="ar"/>
              </w:rPr>
              <w:t>（说明书第0048段）、</w:t>
            </w:r>
            <w:r>
              <w:rPr>
                <w:rStyle w:val="8"/>
                <w:rFonts w:hint="default" w:ascii="Segoe UI" w:hAnsi="Segoe UI" w:eastAsia="Segoe UI" w:cs="Segoe UI"/>
                <w:b/>
                <w:bCs/>
                <w:kern w:val="0"/>
                <w:sz w:val="22"/>
                <w:szCs w:val="22"/>
                <w:bdr w:val="none" w:color="auto" w:sz="0" w:space="0"/>
                <w:lang w:val="en-US" w:eastAsia="zh-CN" w:bidi="ar"/>
              </w:rPr>
              <w:t>第9页</w:t>
            </w:r>
            <w:r>
              <w:rPr>
                <w:rFonts w:hint="default" w:ascii="Segoe UI" w:hAnsi="Segoe UI" w:eastAsia="Segoe UI" w:cs="Segoe UI"/>
                <w:kern w:val="0"/>
                <w:sz w:val="22"/>
                <w:szCs w:val="22"/>
                <w:bdr w:val="none" w:color="auto" w:sz="0" w:space="0"/>
                <w:lang w:val="en-US" w:eastAsia="zh-CN" w:bidi="ar"/>
              </w:rPr>
              <w:t>（说明书第0076-0077段）</w:t>
            </w:r>
          </w:p>
        </w:tc>
      </w:tr>
      <w:tr w14:paraId="05B16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65" w:hRule="atLeast"/>
        </w:trPr>
        <w:tc>
          <w:tcPr>
            <w:tcW w:w="0" w:type="auto"/>
            <w:shd w:val="clear"/>
            <w:tcMar>
              <w:top w:w="150" w:type="dxa"/>
              <w:left w:w="0" w:type="dxa"/>
              <w:bottom w:w="150" w:type="dxa"/>
              <w:right w:w="240" w:type="dxa"/>
            </w:tcMar>
            <w:vAlign w:val="center"/>
          </w:tcPr>
          <w:p w14:paraId="730E711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天线状态判断与故障码生成</w:t>
            </w:r>
          </w:p>
        </w:tc>
        <w:tc>
          <w:tcPr>
            <w:tcW w:w="0" w:type="auto"/>
            <w:shd w:val="clear"/>
            <w:tcMar>
              <w:top w:w="150" w:type="dxa"/>
              <w:left w:w="240" w:type="dxa"/>
              <w:bottom w:w="150" w:type="dxa"/>
              <w:right w:w="240" w:type="dxa"/>
            </w:tcMar>
            <w:vAlign w:val="center"/>
          </w:tcPr>
          <w:p w14:paraId="1ECBC7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通过诊断指令判断天线状态，若存在开路或短路，则生成故障码，这属于</w:t>
            </w:r>
            <w:r>
              <w:rPr>
                <w:rStyle w:val="8"/>
                <w:rFonts w:hint="default" w:ascii="Segoe UI" w:hAnsi="Segoe UI" w:eastAsia="Segoe UI" w:cs="Segoe UI"/>
                <w:b/>
                <w:bCs/>
                <w:kern w:val="0"/>
                <w:sz w:val="22"/>
                <w:szCs w:val="22"/>
                <w:bdr w:val="none" w:color="auto" w:sz="0" w:space="0"/>
                <w:lang w:val="en-US" w:eastAsia="zh-CN" w:bidi="ar"/>
              </w:rPr>
              <w:t>EMC系统完整性检查</w:t>
            </w:r>
            <w:r>
              <w:rPr>
                <w:rFonts w:hint="default" w:ascii="Segoe UI" w:hAnsi="Segoe UI" w:eastAsia="Segoe UI" w:cs="Segoe UI"/>
                <w:kern w:val="0"/>
                <w:sz w:val="22"/>
                <w:szCs w:val="22"/>
                <w:bdr w:val="none" w:color="auto" w:sz="0" w:space="0"/>
                <w:lang w:val="en-US" w:eastAsia="zh-CN" w:bidi="ar"/>
              </w:rPr>
              <w:t>的一部分。</w:t>
            </w:r>
          </w:p>
        </w:tc>
        <w:tc>
          <w:tcPr>
            <w:tcW w:w="0" w:type="auto"/>
            <w:shd w:val="clear"/>
            <w:tcMar>
              <w:top w:w="150" w:type="dxa"/>
              <w:left w:w="240" w:type="dxa"/>
              <w:bottom w:w="150" w:type="dxa"/>
              <w:right w:w="0" w:type="dxa"/>
            </w:tcMar>
            <w:vAlign w:val="center"/>
          </w:tcPr>
          <w:p w14:paraId="778B18A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第2页</w:t>
            </w:r>
            <w:r>
              <w:rPr>
                <w:rFonts w:hint="default" w:ascii="Segoe UI" w:hAnsi="Segoe UI" w:eastAsia="Segoe UI" w:cs="Segoe UI"/>
                <w:kern w:val="0"/>
                <w:sz w:val="22"/>
                <w:szCs w:val="22"/>
                <w:bdr w:val="none" w:color="auto" w:sz="0" w:space="0"/>
                <w:lang w:val="en-US" w:eastAsia="zh-CN" w:bidi="ar"/>
              </w:rPr>
              <w:t>（权利要求4）、</w:t>
            </w:r>
            <w:r>
              <w:rPr>
                <w:rStyle w:val="8"/>
                <w:rFonts w:hint="default" w:ascii="Segoe UI" w:hAnsi="Segoe UI" w:eastAsia="Segoe UI" w:cs="Segoe UI"/>
                <w:b/>
                <w:bCs/>
                <w:kern w:val="0"/>
                <w:sz w:val="22"/>
                <w:szCs w:val="22"/>
                <w:bdr w:val="none" w:color="auto" w:sz="0" w:space="0"/>
                <w:lang w:val="en-US" w:eastAsia="zh-CN" w:bidi="ar"/>
              </w:rPr>
              <w:t>第5页</w:t>
            </w:r>
            <w:r>
              <w:rPr>
                <w:rFonts w:hint="default" w:ascii="Segoe UI" w:hAnsi="Segoe UI" w:eastAsia="Segoe UI" w:cs="Segoe UI"/>
                <w:kern w:val="0"/>
                <w:sz w:val="22"/>
                <w:szCs w:val="22"/>
                <w:bdr w:val="none" w:color="auto" w:sz="0" w:space="0"/>
                <w:lang w:val="en-US" w:eastAsia="zh-CN" w:bidi="ar"/>
              </w:rPr>
              <w:t>（说明书第0048段）</w:t>
            </w:r>
          </w:p>
        </w:tc>
      </w:tr>
      <w:tr w14:paraId="04E0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65" w:hRule="atLeast"/>
        </w:trPr>
        <w:tc>
          <w:tcPr>
            <w:tcW w:w="0" w:type="auto"/>
            <w:shd w:val="clear"/>
            <w:tcMar>
              <w:top w:w="150" w:type="dxa"/>
              <w:left w:w="0" w:type="dxa"/>
              <w:bottom w:w="150" w:type="dxa"/>
              <w:right w:w="240" w:type="dxa"/>
            </w:tcMar>
            <w:vAlign w:val="center"/>
          </w:tcPr>
          <w:p w14:paraId="7AACFE6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电检设备对天线状态的判定</w:t>
            </w:r>
          </w:p>
        </w:tc>
        <w:tc>
          <w:tcPr>
            <w:tcW w:w="0" w:type="auto"/>
            <w:shd w:val="clear"/>
            <w:tcMar>
              <w:top w:w="150" w:type="dxa"/>
              <w:left w:w="240" w:type="dxa"/>
              <w:bottom w:w="150" w:type="dxa"/>
              <w:right w:w="240" w:type="dxa"/>
            </w:tcMar>
            <w:vAlign w:val="center"/>
          </w:tcPr>
          <w:p w14:paraId="6793F3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电检设备根据天线故障码判断系统是否通过检测，</w:t>
            </w:r>
            <w:r>
              <w:rPr>
                <w:rStyle w:val="8"/>
                <w:rFonts w:hint="default" w:ascii="Segoe UI" w:hAnsi="Segoe UI" w:eastAsia="Segoe UI" w:cs="Segoe UI"/>
                <w:b/>
                <w:bCs/>
                <w:kern w:val="0"/>
                <w:sz w:val="22"/>
                <w:szCs w:val="22"/>
                <w:bdr w:val="none" w:color="auto" w:sz="0" w:space="0"/>
                <w:lang w:val="en-US" w:eastAsia="zh-CN" w:bidi="ar"/>
              </w:rPr>
              <w:t>天线状态是决定系统是否具备正常收发能力的关键EMC指标</w:t>
            </w: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3324C34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第2页</w:t>
            </w:r>
            <w:r>
              <w:rPr>
                <w:rFonts w:hint="default" w:ascii="Segoe UI" w:hAnsi="Segoe UI" w:eastAsia="Segoe UI" w:cs="Segoe UI"/>
                <w:kern w:val="0"/>
                <w:sz w:val="22"/>
                <w:szCs w:val="22"/>
                <w:bdr w:val="none" w:color="auto" w:sz="0" w:space="0"/>
                <w:lang w:val="en-US" w:eastAsia="zh-CN" w:bidi="ar"/>
              </w:rPr>
              <w:t>（权利要求5）、</w:t>
            </w:r>
            <w:r>
              <w:rPr>
                <w:rStyle w:val="8"/>
                <w:rFonts w:hint="default" w:ascii="Segoe UI" w:hAnsi="Segoe UI" w:eastAsia="Segoe UI" w:cs="Segoe UI"/>
                <w:b/>
                <w:bCs/>
                <w:kern w:val="0"/>
                <w:sz w:val="22"/>
                <w:szCs w:val="22"/>
                <w:bdr w:val="none" w:color="auto" w:sz="0" w:space="0"/>
                <w:lang w:val="en-US" w:eastAsia="zh-CN" w:bidi="ar"/>
              </w:rPr>
              <w:t>第5页</w:t>
            </w:r>
            <w:r>
              <w:rPr>
                <w:rFonts w:hint="default" w:ascii="Segoe UI" w:hAnsi="Segoe UI" w:eastAsia="Segoe UI" w:cs="Segoe UI"/>
                <w:kern w:val="0"/>
                <w:sz w:val="22"/>
                <w:szCs w:val="22"/>
                <w:bdr w:val="none" w:color="auto" w:sz="0" w:space="0"/>
                <w:lang w:val="en-US" w:eastAsia="zh-CN" w:bidi="ar"/>
              </w:rPr>
              <w:t>（说明书第0050段）</w:t>
            </w:r>
          </w:p>
        </w:tc>
      </w:tr>
    </w:tbl>
    <w:p w14:paraId="3C7A9180">
      <w:pPr>
        <w:pStyle w:val="2"/>
        <w:keepNext w:val="0"/>
        <w:keepLines w:val="0"/>
        <w:widowControl/>
        <w:suppressLineNumbers w:val="0"/>
        <w:shd w:val="clear" w:fill="FFFFFF"/>
        <w:spacing w:before="480" w:beforeAutospacing="0" w:after="240" w:afterAutospacing="0" w:line="450" w:lineRule="atLeast"/>
        <w:ind w:left="0" w:right="0" w:firstLine="0"/>
      </w:pPr>
      <w:r>
        <w:rPr>
          <w:rStyle w:val="8"/>
          <w:rFonts w:hint="default" w:ascii="Segoe UI" w:hAnsi="Segoe UI" w:eastAsia="Segoe UI" w:cs="Segoe UI"/>
          <w:b/>
          <w:caps w:val="0"/>
          <w:color w:val="0F1115"/>
          <w:spacing w:val="0"/>
          <w:sz w:val="30"/>
          <w:szCs w:val="30"/>
          <w:shd w:val="clear" w:fill="FFFFFF"/>
        </w:rPr>
        <w:t>总结：</w:t>
      </w:r>
    </w:p>
    <w:p w14:paraId="4096C6AC">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该专利</w:t>
      </w:r>
      <w:r>
        <w:rPr>
          <w:rStyle w:val="8"/>
          <w:rFonts w:hint="default" w:ascii="Segoe UI" w:hAnsi="Segoe UI" w:eastAsia="Segoe UI" w:cs="Segoe UI"/>
          <w:b/>
          <w:bCs/>
          <w:i w:val="0"/>
          <w:iCs w:val="0"/>
          <w:caps w:val="0"/>
          <w:color w:val="0F1115"/>
          <w:spacing w:val="0"/>
          <w:sz w:val="24"/>
          <w:szCs w:val="24"/>
          <w:shd w:val="clear" w:fill="FFFFFF"/>
        </w:rPr>
        <w:t>明确将“车载卫星通信天线开路或短路”作为故障诊断项目</w:t>
      </w:r>
      <w:r>
        <w:rPr>
          <w:rFonts w:hint="default" w:ascii="Segoe UI" w:hAnsi="Segoe UI" w:eastAsia="Segoe UI" w:cs="Segoe UI"/>
          <w:i w:val="0"/>
          <w:iCs w:val="0"/>
          <w:caps w:val="0"/>
          <w:color w:val="0F1115"/>
          <w:spacing w:val="0"/>
          <w:sz w:val="24"/>
          <w:szCs w:val="24"/>
          <w:shd w:val="clear" w:fill="FFFFFF"/>
        </w:rPr>
        <w:t>，这属于</w:t>
      </w:r>
      <w:r>
        <w:rPr>
          <w:rStyle w:val="8"/>
          <w:rFonts w:hint="default" w:ascii="Segoe UI" w:hAnsi="Segoe UI" w:eastAsia="Segoe UI" w:cs="Segoe UI"/>
          <w:b/>
          <w:bCs/>
          <w:i w:val="0"/>
          <w:iCs w:val="0"/>
          <w:caps w:val="0"/>
          <w:color w:val="0F1115"/>
          <w:spacing w:val="0"/>
          <w:sz w:val="24"/>
          <w:szCs w:val="24"/>
          <w:shd w:val="clear" w:fill="FFFFFF"/>
        </w:rPr>
        <w:t>EMC系统设计与检测</w:t>
      </w:r>
      <w:r>
        <w:rPr>
          <w:rFonts w:hint="default" w:ascii="Segoe UI" w:hAnsi="Segoe UI" w:eastAsia="Segoe UI" w:cs="Segoe UI"/>
          <w:i w:val="0"/>
          <w:iCs w:val="0"/>
          <w:caps w:val="0"/>
          <w:color w:val="0F1115"/>
          <w:spacing w:val="0"/>
          <w:sz w:val="24"/>
          <w:szCs w:val="24"/>
          <w:shd w:val="clear" w:fill="FFFFFF"/>
        </w:rPr>
        <w:t>中的重要环节，用于确保天线系统在电磁环境中的正常工作。</w:t>
      </w:r>
    </w:p>
    <w:p w14:paraId="76050ED4">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天线开路/短路检测是EMC设计中的基本要求</w:t>
      </w:r>
      <w:r>
        <w:rPr>
          <w:rFonts w:hint="default" w:ascii="Segoe UI" w:hAnsi="Segoe UI" w:eastAsia="Segoe UI" w:cs="Segoe UI"/>
          <w:i w:val="0"/>
          <w:iCs w:val="0"/>
          <w:caps w:val="0"/>
          <w:color w:val="0F1115"/>
          <w:spacing w:val="0"/>
          <w:sz w:val="24"/>
          <w:szCs w:val="24"/>
          <w:shd w:val="clear" w:fill="FFFFFF"/>
        </w:rPr>
        <w:t>，用于避免因天线故障导致的通信性能下降或电磁干扰问题。</w:t>
      </w:r>
    </w:p>
    <w:p w14:paraId="000EA02B">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尽管专利未提及“EMC”术语，但</w:t>
      </w:r>
      <w:r>
        <w:rPr>
          <w:rStyle w:val="8"/>
          <w:rFonts w:hint="default" w:ascii="Segoe UI" w:hAnsi="Segoe UI" w:eastAsia="Segoe UI" w:cs="Segoe UI"/>
          <w:b/>
          <w:bCs/>
          <w:i w:val="0"/>
          <w:iCs w:val="0"/>
          <w:caps w:val="0"/>
          <w:color w:val="0F1115"/>
          <w:spacing w:val="0"/>
          <w:sz w:val="24"/>
          <w:szCs w:val="24"/>
          <w:shd w:val="clear" w:fill="FFFFFF"/>
        </w:rPr>
        <w:t>天线状态的检测与保障是实现系统电磁兼容性的必要措施</w:t>
      </w:r>
      <w:r>
        <w:rPr>
          <w:rFonts w:hint="default" w:ascii="Segoe UI" w:hAnsi="Segoe UI" w:eastAsia="Segoe UI" w:cs="Segoe UI"/>
          <w:i w:val="0"/>
          <w:iCs w:val="0"/>
          <w:caps w:val="0"/>
          <w:color w:val="0F1115"/>
          <w:spacing w:val="0"/>
          <w:sz w:val="24"/>
          <w:szCs w:val="24"/>
          <w:shd w:val="clear" w:fill="FFFFFF"/>
        </w:rPr>
        <w:t>。</w:t>
      </w:r>
    </w:p>
    <w:p w14:paraId="687398AB">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6ECCF17">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专利一：《车载卫星通信方法、装置、设备及存储介质》</w:t>
      </w:r>
    </w:p>
    <w:p w14:paraId="082AA071">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此专利主要关注通信切换策略，对硬件EMC设计的提及非常有限且为隐含性内容。</w:t>
      </w:r>
    </w:p>
    <w:p w14:paraId="4FA1136C">
      <w:pPr>
        <w:pStyle w:val="5"/>
        <w:keepNext w:val="0"/>
        <w:keepLines w:val="0"/>
        <w:widowControl/>
        <w:suppressLineNumbers w:val="0"/>
        <w:shd w:val="clear" w:fill="FFFFFF"/>
        <w:spacing w:before="240" w:beforeAutospacing="0" w:after="240" w:afterAutospacing="0"/>
        <w:ind w:left="0" w:right="0" w:firstLine="0"/>
      </w:pPr>
      <w:r>
        <w:rPr>
          <w:rStyle w:val="8"/>
          <w:rFonts w:hint="default" w:ascii="Segoe UI" w:hAnsi="Segoe UI" w:eastAsia="Segoe UI" w:cs="Segoe UI"/>
          <w:b/>
          <w:bCs/>
          <w:i w:val="0"/>
          <w:iCs w:val="0"/>
          <w:caps w:val="0"/>
          <w:color w:val="0F1115"/>
          <w:spacing w:val="0"/>
          <w:sz w:val="24"/>
          <w:szCs w:val="24"/>
          <w:shd w:val="clear" w:fill="FFFFFF"/>
        </w:rPr>
        <w:t>1. 隐含性要求：多通信模块协同工作的EMC环境前提</w:t>
      </w:r>
    </w:p>
    <w:p w14:paraId="63952036">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：说明书第[0006]段 / 文件第4页</w:t>
      </w:r>
    </w:p>
    <w:p w14:paraId="408068C7">
      <w:pPr>
        <w:pStyle w:val="5"/>
        <w:keepNext w:val="0"/>
        <w:keepLines w:val="0"/>
        <w:widowControl/>
        <w:suppressLineNumbers w:val="0"/>
        <w:spacing w:before="0" w:beforeAutospacing="0" w:after="12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506918D3">
      <w:pPr>
        <w:pStyle w:val="5"/>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“车辆内配置有用于接入卫星网络的卫星通信模块和用于接入蜂窝网络的蜂窝通信模块。”</w:t>
      </w:r>
    </w:p>
    <w:p w14:paraId="2D0F4010">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：这句话是整套方案的基础。它隐含了</w:t>
      </w:r>
      <w:r>
        <w:rPr>
          <w:rStyle w:val="8"/>
          <w:rFonts w:hint="default" w:ascii="Segoe UI" w:hAnsi="Segoe UI" w:eastAsia="Segoe UI" w:cs="Segoe UI"/>
          <w:b/>
          <w:bCs/>
          <w:i w:val="0"/>
          <w:iCs w:val="0"/>
          <w:caps w:val="0"/>
          <w:color w:val="0F1115"/>
          <w:spacing w:val="0"/>
          <w:sz w:val="24"/>
          <w:szCs w:val="24"/>
          <w:shd w:val="clear" w:fill="FFFFFF"/>
        </w:rPr>
        <w:t>卫星通信模块</w:t>
      </w:r>
      <w:r>
        <w:rPr>
          <w:rFonts w:hint="default" w:ascii="Segoe UI" w:hAnsi="Segoe UI" w:eastAsia="Segoe UI" w:cs="Segoe UI"/>
          <w:i w:val="0"/>
          <w:iCs w:val="0"/>
          <w:caps w:val="0"/>
          <w:color w:val="0F1115"/>
          <w:spacing w:val="0"/>
          <w:sz w:val="24"/>
          <w:szCs w:val="24"/>
          <w:shd w:val="clear" w:fill="FFFFFF"/>
        </w:rPr>
        <w:t>和</w:t>
      </w:r>
      <w:r>
        <w:rPr>
          <w:rStyle w:val="8"/>
          <w:rFonts w:hint="default" w:ascii="Segoe UI" w:hAnsi="Segoe UI" w:eastAsia="Segoe UI" w:cs="Segoe UI"/>
          <w:b/>
          <w:bCs/>
          <w:i w:val="0"/>
          <w:iCs w:val="0"/>
          <w:caps w:val="0"/>
          <w:color w:val="0F1115"/>
          <w:spacing w:val="0"/>
          <w:sz w:val="24"/>
          <w:szCs w:val="24"/>
          <w:shd w:val="clear" w:fill="FFFFFF"/>
        </w:rPr>
        <w:t>蜂窝通信模块</w:t>
      </w:r>
      <w:r>
        <w:rPr>
          <w:rFonts w:hint="default" w:ascii="Segoe UI" w:hAnsi="Segoe UI" w:eastAsia="Segoe UI" w:cs="Segoe UI"/>
          <w:i w:val="0"/>
          <w:iCs w:val="0"/>
          <w:caps w:val="0"/>
          <w:color w:val="0F1115"/>
          <w:spacing w:val="0"/>
          <w:sz w:val="24"/>
          <w:szCs w:val="24"/>
          <w:shd w:val="clear" w:fill="FFFFFF"/>
        </w:rPr>
        <w:t>这两个大功率射频发射/接收硬件必须在车辆狭小的空间内</w:t>
      </w:r>
      <w:r>
        <w:rPr>
          <w:rStyle w:val="8"/>
          <w:rFonts w:hint="default" w:ascii="Segoe UI" w:hAnsi="Segoe UI" w:eastAsia="Segoe UI" w:cs="Segoe UI"/>
          <w:b/>
          <w:bCs/>
          <w:i w:val="0"/>
          <w:iCs w:val="0"/>
          <w:caps w:val="0"/>
          <w:color w:val="0F1115"/>
          <w:spacing w:val="0"/>
          <w:sz w:val="24"/>
          <w:szCs w:val="24"/>
          <w:shd w:val="clear" w:fill="FFFFFF"/>
        </w:rPr>
        <w:t>共存且无严重电磁干扰</w:t>
      </w:r>
      <w:r>
        <w:rPr>
          <w:rFonts w:hint="default" w:ascii="Segoe UI" w:hAnsi="Segoe UI" w:eastAsia="Segoe UI" w:cs="Segoe UI"/>
          <w:i w:val="0"/>
          <w:iCs w:val="0"/>
          <w:caps w:val="0"/>
          <w:color w:val="0F1115"/>
          <w:spacing w:val="0"/>
          <w:sz w:val="24"/>
          <w:szCs w:val="24"/>
          <w:shd w:val="clear" w:fill="FFFFFF"/>
        </w:rPr>
        <w:t>。这是EMC设计的核心目标之一，即保证系统内不同设备间的电磁兼容性。虽然专利未明说，但这是方案可行的</w:t>
      </w:r>
      <w:r>
        <w:rPr>
          <w:rStyle w:val="8"/>
          <w:rFonts w:hint="default" w:ascii="Segoe UI" w:hAnsi="Segoe UI" w:eastAsia="Segoe UI" w:cs="Segoe UI"/>
          <w:b/>
          <w:bCs/>
          <w:i w:val="0"/>
          <w:iCs w:val="0"/>
          <w:caps w:val="0"/>
          <w:color w:val="0F1115"/>
          <w:spacing w:val="0"/>
          <w:sz w:val="24"/>
          <w:szCs w:val="24"/>
          <w:shd w:val="clear" w:fill="FFFFFF"/>
        </w:rPr>
        <w:t>隐含前提</w:t>
      </w:r>
      <w:r>
        <w:rPr>
          <w:rFonts w:hint="default" w:ascii="Segoe UI" w:hAnsi="Segoe UI" w:eastAsia="Segoe UI" w:cs="Segoe UI"/>
          <w:i w:val="0"/>
          <w:iCs w:val="0"/>
          <w:caps w:val="0"/>
          <w:color w:val="0F1115"/>
          <w:spacing w:val="0"/>
          <w:sz w:val="24"/>
          <w:szCs w:val="24"/>
          <w:shd w:val="clear" w:fill="FFFFFF"/>
        </w:rPr>
        <w:t>。</w:t>
      </w:r>
    </w:p>
    <w:p w14:paraId="693E13A9">
      <w:pPr>
        <w:pStyle w:val="5"/>
        <w:keepNext w:val="0"/>
        <w:keepLines w:val="0"/>
        <w:widowControl/>
        <w:suppressLineNumbers w:val="0"/>
        <w:shd w:val="clear" w:fill="FFFFFF"/>
        <w:spacing w:before="240" w:beforeAutospacing="0" w:after="240" w:afterAutospacing="0"/>
        <w:ind w:left="0" w:right="0" w:firstLine="0"/>
      </w:pPr>
      <w:r>
        <w:rPr>
          <w:rStyle w:val="8"/>
          <w:rFonts w:hint="default" w:ascii="Segoe UI" w:hAnsi="Segoe UI" w:eastAsia="Segoe UI" w:cs="Segoe UI"/>
          <w:b/>
          <w:bCs/>
          <w:i w:val="0"/>
          <w:iCs w:val="0"/>
          <w:caps w:val="0"/>
          <w:color w:val="0F1115"/>
          <w:spacing w:val="0"/>
          <w:sz w:val="24"/>
          <w:szCs w:val="24"/>
          <w:shd w:val="clear" w:fill="FFFFFF"/>
        </w:rPr>
        <w:t>2. 间接相关：通过信号质量判断隐含对接收机抗干扰能力的要求</w:t>
      </w:r>
    </w:p>
    <w:p w14:paraId="083E5B07">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：说明书第[0037]段 / 文件第5页</w:t>
      </w:r>
    </w:p>
    <w:p w14:paraId="64DE873C">
      <w:pPr>
        <w:pStyle w:val="5"/>
        <w:keepNext w:val="0"/>
        <w:keepLines w:val="0"/>
        <w:widowControl/>
        <w:suppressLineNumbers w:val="0"/>
        <w:spacing w:before="0" w:beforeAutospacing="0" w:after="12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1501EC71">
      <w:pPr>
        <w:pStyle w:val="5"/>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RSRP反映了所接收到的信号的强弱...当RSRP值较低时，表示接收到的信号强度较弱，这可能会导致通信质量下降，甚至可能出现通信中断的情况；SINR是指信号功率与干扰噪声功率之比，直接影响利用蜂窝网络进行数据传输的可靠性和稳定性...当SINR较低时，信号质量较差，数据传输的误码率较高，可能导致通信中断或数据丢失。”</w:t>
      </w:r>
    </w:p>
    <w:p w14:paraId="485F7FDD">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：这里描述的</w:t>
      </w:r>
      <w:r>
        <w:rPr>
          <w:rStyle w:val="8"/>
          <w:rFonts w:hint="default" w:ascii="Segoe UI" w:hAnsi="Segoe UI" w:eastAsia="Segoe UI" w:cs="Segoe UI"/>
          <w:b/>
          <w:bCs/>
          <w:i w:val="0"/>
          <w:iCs w:val="0"/>
          <w:caps w:val="0"/>
          <w:color w:val="0F1115"/>
          <w:spacing w:val="0"/>
          <w:sz w:val="24"/>
          <w:szCs w:val="24"/>
          <w:shd w:val="clear" w:fill="FFFFFF"/>
        </w:rPr>
        <w:t>SINR（信号与干扰噪声比）</w:t>
      </w:r>
      <w:r>
        <w:rPr>
          <w:rFonts w:hint="default" w:ascii="Segoe UI" w:hAnsi="Segoe UI" w:eastAsia="Segoe UI" w:cs="Segoe UI"/>
          <w:i w:val="0"/>
          <w:iCs w:val="0"/>
          <w:caps w:val="0"/>
          <w:color w:val="0F1115"/>
          <w:spacing w:val="0"/>
          <w:sz w:val="24"/>
          <w:szCs w:val="24"/>
          <w:shd w:val="clear" w:fill="FFFFFF"/>
        </w:rPr>
        <w:t> 是衡量EMC性能的一个关键指标。低SINR意味着干扰（可能来自系统内部或其他外部源）强度过高。专利通过监测SINR来触发切换，间接要求硬件设计（尤其是接收机）必须具备一定的</w:t>
      </w:r>
      <w:r>
        <w:rPr>
          <w:rStyle w:val="8"/>
          <w:rFonts w:hint="default" w:ascii="Segoe UI" w:hAnsi="Segoe UI" w:eastAsia="Segoe UI" w:cs="Segoe UI"/>
          <w:b/>
          <w:bCs/>
          <w:i w:val="0"/>
          <w:iCs w:val="0"/>
          <w:caps w:val="0"/>
          <w:color w:val="0F1115"/>
          <w:spacing w:val="0"/>
          <w:sz w:val="24"/>
          <w:szCs w:val="24"/>
          <w:shd w:val="clear" w:fill="FFFFFF"/>
        </w:rPr>
        <w:t>抗干扰能力</w:t>
      </w:r>
      <w:r>
        <w:rPr>
          <w:rFonts w:hint="default" w:ascii="Segoe UI" w:hAnsi="Segoe UI" w:eastAsia="Segoe UI" w:cs="Segoe UI"/>
          <w:i w:val="0"/>
          <w:iCs w:val="0"/>
          <w:caps w:val="0"/>
          <w:color w:val="0F1115"/>
          <w:spacing w:val="0"/>
          <w:sz w:val="24"/>
          <w:szCs w:val="24"/>
          <w:shd w:val="clear" w:fill="FFFFFF"/>
        </w:rPr>
        <w:t>，以保证在复杂的电磁环境中SINR不会过早恶化，这属于EMC中的</w:t>
      </w:r>
      <w:r>
        <w:rPr>
          <w:rStyle w:val="8"/>
          <w:rFonts w:hint="default" w:ascii="Segoe UI" w:hAnsi="Segoe UI" w:eastAsia="Segoe UI" w:cs="Segoe UI"/>
          <w:b/>
          <w:bCs/>
          <w:i w:val="0"/>
          <w:iCs w:val="0"/>
          <w:caps w:val="0"/>
          <w:color w:val="0F1115"/>
          <w:spacing w:val="0"/>
          <w:sz w:val="24"/>
          <w:szCs w:val="24"/>
          <w:shd w:val="clear" w:fill="FFFFFF"/>
        </w:rPr>
        <w:t>抗扰度</w:t>
      </w:r>
      <w:r>
        <w:rPr>
          <w:rFonts w:hint="default" w:ascii="Segoe UI" w:hAnsi="Segoe UI" w:eastAsia="Segoe UI" w:cs="Segoe UI"/>
          <w:i w:val="0"/>
          <w:iCs w:val="0"/>
          <w:caps w:val="0"/>
          <w:color w:val="0F1115"/>
          <w:spacing w:val="0"/>
          <w:sz w:val="24"/>
          <w:szCs w:val="24"/>
          <w:shd w:val="clear" w:fill="FFFFFF"/>
        </w:rPr>
        <w:t>要求。</w:t>
      </w:r>
    </w:p>
    <w:p w14:paraId="4A6FE0A1">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专利二：《车载卫星通信系统收发能力下线检测方法、装置、设备及介质》</w:t>
      </w:r>
    </w:p>
    <w:p w14:paraId="0A0DB1E0">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此专利关于下线检测的内容，</w:t>
      </w:r>
      <w:r>
        <w:rPr>
          <w:rStyle w:val="8"/>
          <w:rFonts w:hint="default" w:ascii="Segoe UI" w:hAnsi="Segoe UI" w:eastAsia="Segoe UI" w:cs="Segoe UI"/>
          <w:b/>
          <w:bCs/>
          <w:i w:val="0"/>
          <w:iCs w:val="0"/>
          <w:caps w:val="0"/>
          <w:color w:val="0F1115"/>
          <w:spacing w:val="0"/>
          <w:sz w:val="24"/>
          <w:szCs w:val="24"/>
          <w:shd w:val="clear" w:fill="FFFFFF"/>
        </w:rPr>
        <w:t>明确包含了一项至关重要的硬件EMC相关检测项目</w:t>
      </w:r>
      <w:r>
        <w:rPr>
          <w:rFonts w:hint="default" w:ascii="Segoe UI" w:hAnsi="Segoe UI" w:eastAsia="Segoe UI" w:cs="Segoe UI"/>
          <w:i w:val="0"/>
          <w:iCs w:val="0"/>
          <w:caps w:val="0"/>
          <w:color w:val="0F1115"/>
          <w:spacing w:val="0"/>
          <w:sz w:val="24"/>
          <w:szCs w:val="24"/>
          <w:shd w:val="clear" w:fill="FFFFFF"/>
        </w:rPr>
        <w:t>。</w:t>
      </w:r>
    </w:p>
    <w:p w14:paraId="5D7F6BDF">
      <w:pPr>
        <w:pStyle w:val="5"/>
        <w:keepNext w:val="0"/>
        <w:keepLines w:val="0"/>
        <w:widowControl/>
        <w:suppressLineNumbers w:val="0"/>
        <w:shd w:val="clear" w:fill="FFFFFF"/>
        <w:spacing w:before="240" w:beforeAutospacing="0" w:after="240" w:afterAutospacing="0"/>
        <w:ind w:left="0" w:right="0" w:firstLine="0"/>
      </w:pPr>
      <w:r>
        <w:rPr>
          <w:rStyle w:val="8"/>
          <w:rFonts w:hint="default" w:ascii="Segoe UI" w:hAnsi="Segoe UI" w:eastAsia="Segoe UI" w:cs="Segoe UI"/>
          <w:b/>
          <w:bCs/>
          <w:i w:val="0"/>
          <w:iCs w:val="0"/>
          <w:caps w:val="0"/>
          <w:color w:val="0F1115"/>
          <w:spacing w:val="0"/>
          <w:sz w:val="24"/>
          <w:szCs w:val="24"/>
          <w:shd w:val="clear" w:fill="FFFFFF"/>
        </w:rPr>
        <w:t>1. 明确要求：对天线连接状态的EMC完整性检测</w:t>
      </w:r>
    </w:p>
    <w:p w14:paraId="6C4C0901">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：权利要求书第4项 / 文件第2页；说明书第[0048], [0076-0077]段 / 文件第5, 9页</w:t>
      </w:r>
    </w:p>
    <w:p w14:paraId="1368B10D">
      <w:pPr>
        <w:pStyle w:val="5"/>
        <w:keepNext w:val="0"/>
        <w:keepLines w:val="0"/>
        <w:widowControl/>
        <w:suppressLineNumbers w:val="0"/>
        <w:spacing w:before="0" w:beforeAutospacing="0" w:after="12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29BAF19D">
      <w:pPr>
        <w:pStyle w:val="5"/>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“判断车载卫星通信天线是否存在开路或短路，得到第二判断结果。”</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“当所述第一判断结果为是和/或所述第二判断结果为是时，生成包含故障码的所述故障码读取结果；”</w:t>
      </w:r>
    </w:p>
    <w:p w14:paraId="3334AF4A">
      <w:pPr>
        <w:pStyle w:val="5"/>
        <w:keepNext w:val="0"/>
        <w:keepLines w:val="0"/>
        <w:widowControl/>
        <w:suppressLineNumbers w:val="0"/>
        <w:spacing w:before="0" w:beforeAutospacing="0" w:after="12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：这是两份专利中</w:t>
      </w:r>
      <w:r>
        <w:rPr>
          <w:rStyle w:val="8"/>
          <w:rFonts w:hint="default" w:ascii="Segoe UI" w:hAnsi="Segoe UI" w:eastAsia="Segoe UI" w:cs="Segoe UI"/>
          <w:b/>
          <w:bCs/>
          <w:i w:val="0"/>
          <w:iCs w:val="0"/>
          <w:caps w:val="0"/>
          <w:color w:val="0F1115"/>
          <w:spacing w:val="0"/>
          <w:sz w:val="24"/>
          <w:szCs w:val="24"/>
          <w:shd w:val="clear" w:fill="FFFFFF"/>
        </w:rPr>
        <w:t>最直接、最明确的硬件EMC相关要求</w:t>
      </w:r>
      <w:r>
        <w:rPr>
          <w:rFonts w:hint="default" w:ascii="Segoe UI" w:hAnsi="Segoe UI" w:eastAsia="Segoe UI" w:cs="Segoe UI"/>
          <w:i w:val="0"/>
          <w:iCs w:val="0"/>
          <w:caps w:val="0"/>
          <w:color w:val="0F1115"/>
          <w:spacing w:val="0"/>
          <w:sz w:val="24"/>
          <w:szCs w:val="24"/>
          <w:shd w:val="clear" w:fill="FFFFFF"/>
        </w:rPr>
        <w:t>。</w:t>
      </w:r>
    </w:p>
    <w:p w14:paraId="5BB33C95">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天线开路/短路</w:t>
      </w:r>
      <w:r>
        <w:rPr>
          <w:rFonts w:hint="default" w:ascii="Segoe UI" w:hAnsi="Segoe UI" w:eastAsia="Segoe UI" w:cs="Segoe UI"/>
          <w:i w:val="0"/>
          <w:iCs w:val="0"/>
          <w:caps w:val="0"/>
          <w:color w:val="0F1115"/>
          <w:spacing w:val="0"/>
          <w:sz w:val="24"/>
          <w:szCs w:val="24"/>
          <w:shd w:val="clear" w:fill="FFFFFF"/>
        </w:rPr>
        <w:t>是典型的EMC问题。天线开路可能导致信号反射，增大驻波比，影响发射效率并可能损坏功放；天线短路则可能引起大电流，同样是严重的故障状态。</w:t>
      </w:r>
    </w:p>
    <w:p w14:paraId="19856107">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将天线状态作为下线</w:t>
      </w:r>
      <w:r>
        <w:rPr>
          <w:rStyle w:val="8"/>
          <w:rFonts w:hint="default" w:ascii="Segoe UI" w:hAnsi="Segoe UI" w:eastAsia="Segoe UI" w:cs="Segoe UI"/>
          <w:b/>
          <w:bCs/>
          <w:i w:val="0"/>
          <w:iCs w:val="0"/>
          <w:caps w:val="0"/>
          <w:color w:val="0F1115"/>
          <w:spacing w:val="0"/>
          <w:sz w:val="24"/>
          <w:szCs w:val="24"/>
          <w:shd w:val="clear" w:fill="FFFFFF"/>
        </w:rPr>
        <w:t>必检项目</w:t>
      </w:r>
      <w:r>
        <w:rPr>
          <w:rFonts w:hint="default" w:ascii="Segoe UI" w:hAnsi="Segoe UI" w:eastAsia="Segoe UI" w:cs="Segoe UI"/>
          <w:i w:val="0"/>
          <w:iCs w:val="0"/>
          <w:caps w:val="0"/>
          <w:color w:val="0F1115"/>
          <w:spacing w:val="0"/>
          <w:sz w:val="24"/>
          <w:szCs w:val="24"/>
          <w:shd w:val="clear" w:fill="FFFFFF"/>
        </w:rPr>
        <w:t>，意味着在硬件设计和生产阶段，必须保证天线、馈线及接插件的质量与可靠连接，从而确保系统具备良好且一致的电磁发射与接收性能。这直接关系到产品的</w:t>
      </w:r>
      <w:r>
        <w:rPr>
          <w:rStyle w:val="8"/>
          <w:rFonts w:hint="default" w:ascii="Segoe UI" w:hAnsi="Segoe UI" w:eastAsia="Segoe UI" w:cs="Segoe UI"/>
          <w:b/>
          <w:bCs/>
          <w:i w:val="0"/>
          <w:iCs w:val="0"/>
          <w:caps w:val="0"/>
          <w:color w:val="0F1115"/>
          <w:spacing w:val="0"/>
          <w:sz w:val="24"/>
          <w:szCs w:val="24"/>
          <w:shd w:val="clear" w:fill="FFFFFF"/>
        </w:rPr>
        <w:t>EMC一致性</w:t>
      </w:r>
      <w:r>
        <w:rPr>
          <w:rFonts w:hint="default" w:ascii="Segoe UI" w:hAnsi="Segoe UI" w:eastAsia="Segoe UI" w:cs="Segoe UI"/>
          <w:i w:val="0"/>
          <w:iCs w:val="0"/>
          <w:caps w:val="0"/>
          <w:color w:val="0F1115"/>
          <w:spacing w:val="0"/>
          <w:sz w:val="24"/>
          <w:szCs w:val="24"/>
          <w:shd w:val="clear" w:fill="FFFFFF"/>
        </w:rPr>
        <w:t>和</w:t>
      </w:r>
      <w:r>
        <w:rPr>
          <w:rStyle w:val="8"/>
          <w:rFonts w:hint="default" w:ascii="Segoe UI" w:hAnsi="Segoe UI" w:eastAsia="Segoe UI" w:cs="Segoe UI"/>
          <w:b/>
          <w:bCs/>
          <w:i w:val="0"/>
          <w:iCs w:val="0"/>
          <w:caps w:val="0"/>
          <w:color w:val="0F1115"/>
          <w:spacing w:val="0"/>
          <w:sz w:val="24"/>
          <w:szCs w:val="24"/>
          <w:shd w:val="clear" w:fill="FFFFFF"/>
        </w:rPr>
        <w:t>可靠性</w:t>
      </w:r>
      <w:r>
        <w:rPr>
          <w:rFonts w:hint="default" w:ascii="Segoe UI" w:hAnsi="Segoe UI" w:eastAsia="Segoe UI" w:cs="Segoe UI"/>
          <w:i w:val="0"/>
          <w:iCs w:val="0"/>
          <w:caps w:val="0"/>
          <w:color w:val="0F1115"/>
          <w:spacing w:val="0"/>
          <w:sz w:val="24"/>
          <w:szCs w:val="24"/>
          <w:shd w:val="clear" w:fill="FFFFFF"/>
        </w:rPr>
        <w:t>。</w:t>
      </w:r>
    </w:p>
    <w:p w14:paraId="48E31A82">
      <w:pPr>
        <w:pStyle w:val="5"/>
        <w:keepNext w:val="0"/>
        <w:keepLines w:val="0"/>
        <w:widowControl/>
        <w:suppressLineNumbers w:val="0"/>
        <w:shd w:val="clear" w:fill="FFFFFF"/>
        <w:spacing w:before="240" w:beforeAutospacing="0" w:after="240" w:afterAutospacing="0"/>
        <w:ind w:left="0" w:right="0" w:firstLine="0"/>
      </w:pPr>
      <w:r>
        <w:rPr>
          <w:rStyle w:val="8"/>
          <w:rFonts w:hint="default" w:ascii="Segoe UI" w:hAnsi="Segoe UI" w:eastAsia="Segoe UI" w:cs="Segoe UI"/>
          <w:b/>
          <w:bCs/>
          <w:i w:val="0"/>
          <w:iCs w:val="0"/>
          <w:caps w:val="0"/>
          <w:color w:val="0F1115"/>
          <w:spacing w:val="0"/>
          <w:sz w:val="24"/>
          <w:szCs w:val="24"/>
          <w:shd w:val="clear" w:fill="FFFFFF"/>
        </w:rPr>
        <w:t>2. 间接相关：故障诊断体系支持EMC性能维护</w:t>
      </w:r>
    </w:p>
    <w:p w14:paraId="2BA5D62C">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：说明书第[0050]段 / 文件第5页</w:t>
      </w:r>
    </w:p>
    <w:p w14:paraId="0C9F0406">
      <w:pPr>
        <w:pStyle w:val="5"/>
        <w:keepNext w:val="0"/>
        <w:keepLines w:val="0"/>
        <w:widowControl/>
        <w:suppressLineNumbers w:val="0"/>
        <w:spacing w:before="0" w:beforeAutospacing="0" w:after="12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6062623A">
      <w:pPr>
        <w:pStyle w:val="5"/>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“当所述卫星通信切换结果为切换失败和/或所述故障码读取结果不为空时，确定车载卫星通信系统收发能力下线检测结果为检测不通过。”</w:t>
      </w:r>
    </w:p>
    <w:p w14:paraId="7AFA0E1E">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：这条规定将上述“天线开路/短路”的故障码与最终的检测结果绑定。这建立了一个质量关卡，确保任何存在潜在EMC缺陷（如天线连接不良）的产品无法出厂，从流程上</w:t>
      </w:r>
      <w:r>
        <w:rPr>
          <w:rStyle w:val="8"/>
          <w:rFonts w:hint="default" w:ascii="Segoe UI" w:hAnsi="Segoe UI" w:eastAsia="Segoe UI" w:cs="Segoe UI"/>
          <w:b/>
          <w:bCs/>
          <w:i w:val="0"/>
          <w:iCs w:val="0"/>
          <w:caps w:val="0"/>
          <w:color w:val="0F1115"/>
          <w:spacing w:val="0"/>
          <w:sz w:val="24"/>
          <w:szCs w:val="24"/>
          <w:shd w:val="clear" w:fill="FFFFFF"/>
        </w:rPr>
        <w:t>强制要求了硬件必须满足基本的EMC连接条件</w:t>
      </w:r>
      <w:r>
        <w:rPr>
          <w:rFonts w:hint="default" w:ascii="Segoe UI" w:hAnsi="Segoe UI" w:eastAsia="Segoe UI" w:cs="Segoe UI"/>
          <w:i w:val="0"/>
          <w:iCs w:val="0"/>
          <w:caps w:val="0"/>
          <w:color w:val="0F1115"/>
          <w:spacing w:val="0"/>
          <w:sz w:val="24"/>
          <w:szCs w:val="24"/>
          <w:shd w:val="clear" w:fill="FFFFFF"/>
        </w:rPr>
        <w:t>。</w:t>
      </w:r>
    </w:p>
    <w:p w14:paraId="682A23B4">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总结</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3"/>
        <w:gridCol w:w="3758"/>
        <w:gridCol w:w="1364"/>
        <w:gridCol w:w="1360"/>
      </w:tblGrid>
      <w:tr w14:paraId="21415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940AB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专利</w:t>
            </w:r>
          </w:p>
        </w:tc>
        <w:tc>
          <w:tcPr>
            <w:tcW w:w="0" w:type="auto"/>
            <w:tcBorders>
              <w:top w:val="nil"/>
            </w:tcBorders>
            <w:shd w:val="clear"/>
            <w:tcMar>
              <w:top w:w="150" w:type="dxa"/>
              <w:left w:w="240" w:type="dxa"/>
              <w:bottom w:w="150" w:type="dxa"/>
              <w:right w:w="240" w:type="dxa"/>
            </w:tcMar>
            <w:vAlign w:val="center"/>
          </w:tcPr>
          <w:p w14:paraId="0C14A6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EC相关设计/要求</w:t>
            </w:r>
          </w:p>
        </w:tc>
        <w:tc>
          <w:tcPr>
            <w:tcW w:w="0" w:type="auto"/>
            <w:tcBorders>
              <w:top w:val="nil"/>
            </w:tcBorders>
            <w:shd w:val="clear"/>
            <w:tcMar>
              <w:top w:w="150" w:type="dxa"/>
              <w:left w:w="240" w:type="dxa"/>
              <w:bottom w:w="150" w:type="dxa"/>
              <w:right w:w="240" w:type="dxa"/>
            </w:tcMar>
            <w:vAlign w:val="center"/>
          </w:tcPr>
          <w:p w14:paraId="0D5C5C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性质</w:t>
            </w:r>
          </w:p>
        </w:tc>
        <w:tc>
          <w:tcPr>
            <w:tcW w:w="0" w:type="auto"/>
            <w:tcBorders>
              <w:top w:val="nil"/>
            </w:tcBorders>
            <w:shd w:val="clear"/>
            <w:tcMar>
              <w:top w:w="150" w:type="dxa"/>
              <w:left w:w="240" w:type="dxa"/>
              <w:bottom w:w="150" w:type="dxa"/>
              <w:right w:w="240" w:type="dxa"/>
            </w:tcMar>
            <w:vAlign w:val="center"/>
          </w:tcPr>
          <w:p w14:paraId="634E26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关键程度</w:t>
            </w:r>
          </w:p>
        </w:tc>
      </w:tr>
      <w:tr w14:paraId="7E6CF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FC520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专利一</w:t>
            </w:r>
          </w:p>
        </w:tc>
        <w:tc>
          <w:tcPr>
            <w:tcW w:w="0" w:type="auto"/>
            <w:shd w:val="clear"/>
            <w:tcMar>
              <w:top w:w="150" w:type="dxa"/>
              <w:left w:w="240" w:type="dxa"/>
              <w:bottom w:w="150" w:type="dxa"/>
              <w:right w:w="240" w:type="dxa"/>
            </w:tcMar>
            <w:vAlign w:val="center"/>
          </w:tcPr>
          <w:p w14:paraId="7623A0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 多射频模块共存</w:t>
            </w:r>
          </w:p>
        </w:tc>
        <w:tc>
          <w:tcPr>
            <w:tcW w:w="0" w:type="auto"/>
            <w:shd w:val="clear"/>
            <w:tcMar>
              <w:top w:w="150" w:type="dxa"/>
              <w:left w:w="240" w:type="dxa"/>
              <w:bottom w:w="150" w:type="dxa"/>
              <w:right w:w="240" w:type="dxa"/>
            </w:tcMar>
            <w:vAlign w:val="center"/>
          </w:tcPr>
          <w:p w14:paraId="760ECE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隐含前提</w:t>
            </w:r>
          </w:p>
        </w:tc>
        <w:tc>
          <w:tcPr>
            <w:tcW w:w="0" w:type="auto"/>
            <w:shd w:val="clear"/>
            <w:tcMar>
              <w:top w:w="150" w:type="dxa"/>
              <w:left w:w="240" w:type="dxa"/>
              <w:bottom w:w="150" w:type="dxa"/>
              <w:right w:w="0" w:type="dxa"/>
            </w:tcMar>
            <w:vAlign w:val="center"/>
          </w:tcPr>
          <w:p w14:paraId="30091B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B5A9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B25AD3">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3C752C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 通过SINR监测隐含抗干扰要求</w:t>
            </w:r>
          </w:p>
        </w:tc>
        <w:tc>
          <w:tcPr>
            <w:tcW w:w="0" w:type="auto"/>
            <w:shd w:val="clear"/>
            <w:tcMar>
              <w:top w:w="150" w:type="dxa"/>
              <w:left w:w="240" w:type="dxa"/>
              <w:bottom w:w="150" w:type="dxa"/>
              <w:right w:w="240" w:type="dxa"/>
            </w:tcMar>
            <w:vAlign w:val="center"/>
          </w:tcPr>
          <w:p w14:paraId="278DEC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间接相关</w:t>
            </w:r>
          </w:p>
        </w:tc>
        <w:tc>
          <w:tcPr>
            <w:tcW w:w="0" w:type="auto"/>
            <w:shd w:val="clear"/>
            <w:tcMar>
              <w:top w:w="150" w:type="dxa"/>
              <w:left w:w="240" w:type="dxa"/>
              <w:bottom w:w="150" w:type="dxa"/>
              <w:right w:w="0" w:type="dxa"/>
            </w:tcMar>
            <w:vAlign w:val="center"/>
          </w:tcPr>
          <w:p w14:paraId="09554A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FFC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66DA9B">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专利二</w:t>
            </w:r>
          </w:p>
        </w:tc>
        <w:tc>
          <w:tcPr>
            <w:tcW w:w="0" w:type="auto"/>
            <w:shd w:val="clear"/>
            <w:tcMar>
              <w:top w:w="150" w:type="dxa"/>
              <w:left w:w="240" w:type="dxa"/>
              <w:bottom w:w="150" w:type="dxa"/>
              <w:right w:w="240" w:type="dxa"/>
            </w:tcMar>
            <w:vAlign w:val="center"/>
          </w:tcPr>
          <w:p w14:paraId="61E9406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1. 天线开路/短路故障诊断</w:t>
            </w:r>
          </w:p>
        </w:tc>
        <w:tc>
          <w:tcPr>
            <w:tcW w:w="0" w:type="auto"/>
            <w:shd w:val="clear"/>
            <w:tcMar>
              <w:top w:w="150" w:type="dxa"/>
              <w:left w:w="240" w:type="dxa"/>
              <w:bottom w:w="150" w:type="dxa"/>
              <w:right w:w="240" w:type="dxa"/>
            </w:tcMar>
            <w:vAlign w:val="center"/>
          </w:tcPr>
          <w:p w14:paraId="4DBBB43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明确要求</w:t>
            </w:r>
          </w:p>
        </w:tc>
        <w:tc>
          <w:tcPr>
            <w:tcW w:w="0" w:type="auto"/>
            <w:shd w:val="clear"/>
            <w:tcMar>
              <w:top w:w="150" w:type="dxa"/>
              <w:left w:w="240" w:type="dxa"/>
              <w:bottom w:w="150" w:type="dxa"/>
              <w:right w:w="0" w:type="dxa"/>
            </w:tcMar>
            <w:vAlign w:val="center"/>
          </w:tcPr>
          <w:p w14:paraId="21098129">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bdr w:val="none" w:color="auto" w:sz="0" w:space="0"/>
                <w:lang w:val="en-US" w:eastAsia="zh-CN" w:bidi="ar"/>
              </w:rPr>
              <w:t>★★★★★</w:t>
            </w:r>
          </w:p>
        </w:tc>
      </w:tr>
      <w:tr w14:paraId="2EDD4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B9CCF8">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2F0157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 故障码与检测结果绑定</w:t>
            </w:r>
          </w:p>
        </w:tc>
        <w:tc>
          <w:tcPr>
            <w:tcW w:w="0" w:type="auto"/>
            <w:shd w:val="clear"/>
            <w:tcMar>
              <w:top w:w="150" w:type="dxa"/>
              <w:left w:w="240" w:type="dxa"/>
              <w:bottom w:w="150" w:type="dxa"/>
              <w:right w:w="240" w:type="dxa"/>
            </w:tcMar>
            <w:vAlign w:val="center"/>
          </w:tcPr>
          <w:p w14:paraId="5C96CC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流程保障</w:t>
            </w:r>
          </w:p>
        </w:tc>
        <w:tc>
          <w:tcPr>
            <w:tcW w:w="0" w:type="auto"/>
            <w:shd w:val="clear"/>
            <w:tcMar>
              <w:top w:w="150" w:type="dxa"/>
              <w:left w:w="240" w:type="dxa"/>
              <w:bottom w:w="150" w:type="dxa"/>
              <w:right w:w="0" w:type="dxa"/>
            </w:tcMar>
            <w:vAlign w:val="center"/>
          </w:tcPr>
          <w:p w14:paraId="4347FF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19D031DF">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核心结论</w:t>
      </w:r>
      <w:r>
        <w:rPr>
          <w:rFonts w:hint="default" w:ascii="Segoe UI" w:hAnsi="Segoe UI" w:eastAsia="Segoe UI" w:cs="Segoe UI"/>
          <w:i w:val="0"/>
          <w:iCs w:val="0"/>
          <w:caps w:val="0"/>
          <w:color w:val="0F1115"/>
          <w:spacing w:val="0"/>
          <w:sz w:val="24"/>
          <w:szCs w:val="24"/>
          <w:shd w:val="clear" w:fill="FFFFFF"/>
        </w:rPr>
        <w:t>：</w:t>
      </w:r>
    </w:p>
    <w:p w14:paraId="2686B123">
      <w:pPr>
        <w:pStyle w:val="5"/>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这两份专利并未详细描述具体的EMC硬件设计（如电路板布局、屏蔽罩、滤波电路等），但它们从</w:t>
      </w:r>
      <w:r>
        <w:rPr>
          <w:rStyle w:val="8"/>
          <w:rFonts w:hint="default" w:ascii="Segoe UI" w:hAnsi="Segoe UI" w:eastAsia="Segoe UI" w:cs="Segoe UI"/>
          <w:b/>
          <w:bCs/>
          <w:i w:val="0"/>
          <w:iCs w:val="0"/>
          <w:caps w:val="0"/>
          <w:color w:val="0F1115"/>
          <w:spacing w:val="0"/>
          <w:sz w:val="24"/>
          <w:szCs w:val="24"/>
          <w:shd w:val="clear" w:fill="FFFFFF"/>
        </w:rPr>
        <w:t>系统功能</w:t>
      </w:r>
      <w:r>
        <w:rPr>
          <w:rFonts w:hint="default" w:ascii="Segoe UI" w:hAnsi="Segoe UI" w:eastAsia="Segoe UI" w:cs="Segoe UI"/>
          <w:i w:val="0"/>
          <w:iCs w:val="0"/>
          <w:caps w:val="0"/>
          <w:color w:val="0F1115"/>
          <w:spacing w:val="0"/>
          <w:sz w:val="24"/>
          <w:szCs w:val="24"/>
          <w:shd w:val="clear" w:fill="FFFFFF"/>
        </w:rPr>
        <w:t>和</w:t>
      </w:r>
      <w:r>
        <w:rPr>
          <w:rStyle w:val="8"/>
          <w:rFonts w:hint="default" w:ascii="Segoe UI" w:hAnsi="Segoe UI" w:eastAsia="Segoe UI" w:cs="Segoe UI"/>
          <w:b/>
          <w:bCs/>
          <w:i w:val="0"/>
          <w:iCs w:val="0"/>
          <w:caps w:val="0"/>
          <w:color w:val="0F1115"/>
          <w:spacing w:val="0"/>
          <w:sz w:val="24"/>
          <w:szCs w:val="24"/>
          <w:shd w:val="clear" w:fill="FFFFFF"/>
        </w:rPr>
        <w:t>出厂检测</w:t>
      </w:r>
      <w:r>
        <w:rPr>
          <w:rFonts w:hint="default" w:ascii="Segoe UI" w:hAnsi="Segoe UI" w:eastAsia="Segoe UI" w:cs="Segoe UI"/>
          <w:i w:val="0"/>
          <w:iCs w:val="0"/>
          <w:caps w:val="0"/>
          <w:color w:val="0F1115"/>
          <w:spacing w:val="0"/>
          <w:sz w:val="24"/>
          <w:szCs w:val="24"/>
          <w:shd w:val="clear" w:fill="FFFFFF"/>
        </w:rPr>
        <w:t>的角度，明确了关键的硬件EMC要求：</w:t>
      </w:r>
    </w:p>
    <w:p w14:paraId="714CB34E">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最重要的发现</w:t>
      </w:r>
      <w:r>
        <w:rPr>
          <w:rFonts w:hint="default" w:ascii="Segoe UI" w:hAnsi="Segoe UI" w:eastAsia="Segoe UI" w:cs="Segoe UI"/>
          <w:i w:val="0"/>
          <w:iCs w:val="0"/>
          <w:caps w:val="0"/>
          <w:color w:val="0F1115"/>
          <w:spacing w:val="0"/>
          <w:sz w:val="24"/>
          <w:szCs w:val="24"/>
          <w:shd w:val="clear" w:fill="FFFFFF"/>
        </w:rPr>
        <w:t>在</w:t>
      </w:r>
      <w:r>
        <w:rPr>
          <w:rStyle w:val="8"/>
          <w:rFonts w:hint="default" w:ascii="Segoe UI" w:hAnsi="Segoe UI" w:eastAsia="Segoe UI" w:cs="Segoe UI"/>
          <w:b/>
          <w:bCs/>
          <w:i w:val="0"/>
          <w:iCs w:val="0"/>
          <w:caps w:val="0"/>
          <w:color w:val="0F1115"/>
          <w:spacing w:val="0"/>
          <w:sz w:val="24"/>
          <w:szCs w:val="24"/>
          <w:shd w:val="clear" w:fill="FFFFFF"/>
        </w:rPr>
        <w:t>专利二</w:t>
      </w:r>
      <w:r>
        <w:rPr>
          <w:rFonts w:hint="default" w:ascii="Segoe UI" w:hAnsi="Segoe UI" w:eastAsia="Segoe UI" w:cs="Segoe UI"/>
          <w:i w:val="0"/>
          <w:iCs w:val="0"/>
          <w:caps w:val="0"/>
          <w:color w:val="0F1115"/>
          <w:spacing w:val="0"/>
          <w:sz w:val="24"/>
          <w:szCs w:val="24"/>
          <w:shd w:val="clear" w:fill="FFFFFF"/>
        </w:rPr>
        <w:t>中，它明确将</w:t>
      </w:r>
      <w:r>
        <w:rPr>
          <w:rStyle w:val="8"/>
          <w:rFonts w:hint="default" w:ascii="Segoe UI" w:hAnsi="Segoe UI" w:eastAsia="Segoe UI" w:cs="Segoe UI"/>
          <w:b/>
          <w:bCs/>
          <w:i w:val="0"/>
          <w:iCs w:val="0"/>
          <w:caps w:val="0"/>
          <w:color w:val="0F1115"/>
          <w:spacing w:val="0"/>
          <w:sz w:val="24"/>
          <w:szCs w:val="24"/>
          <w:shd w:val="clear" w:fill="FFFFFF"/>
        </w:rPr>
        <w:t>“车载卫星通信天线的开路与短路”</w:t>
      </w:r>
      <w:r>
        <w:rPr>
          <w:rFonts w:hint="default" w:ascii="Segoe UI" w:hAnsi="Segoe UI" w:eastAsia="Segoe UI" w:cs="Segoe UI"/>
          <w:i w:val="0"/>
          <w:iCs w:val="0"/>
          <w:caps w:val="0"/>
          <w:color w:val="0F1115"/>
          <w:spacing w:val="0"/>
          <w:sz w:val="24"/>
          <w:szCs w:val="24"/>
          <w:shd w:val="clear" w:fill="FFFFFF"/>
        </w:rPr>
        <w:t> 作为下线检测的硬性指标。这直接确保了每个出厂产品其射频前端（天线系统）处于良好的电气连接状态，这是保证产品电磁兼容性与辐射性能的基础。</w:t>
      </w:r>
    </w:p>
    <w:p w14:paraId="4CE17B10">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24"/>
          <w:szCs w:val="24"/>
          <w:shd w:val="clear" w:fill="FFFFFF"/>
        </w:rPr>
        <w:t>专利一</w:t>
      </w:r>
      <w:r>
        <w:rPr>
          <w:rFonts w:hint="default" w:ascii="Segoe UI" w:hAnsi="Segoe UI" w:eastAsia="Segoe UI" w:cs="Segoe UI"/>
          <w:i w:val="0"/>
          <w:iCs w:val="0"/>
          <w:caps w:val="0"/>
          <w:color w:val="0F1115"/>
          <w:spacing w:val="0"/>
          <w:sz w:val="24"/>
          <w:szCs w:val="24"/>
          <w:shd w:val="clear" w:fill="FFFFFF"/>
        </w:rPr>
        <w:t>则从系统层面隐含了硬件必须在复杂的电磁环境下稳定工作，其接收机需具备一定的抗干扰能力。</w:t>
      </w:r>
      <w:bookmarkStart w:id="0" w:name="_GoBack"/>
      <w:bookmarkEnd w:id="0"/>
    </w:p>
    <w:p w14:paraId="55002429">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4E3A8124">
      <w:pPr>
        <w:rPr>
          <w:rFonts w:hint="eastAsia" w:ascii="Segoe UI" w:hAnsi="Segoe UI" w:eastAsia="宋体"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60962E6"/>
    <w:rsid w:val="56CF5CFB"/>
    <w:rsid w:val="572A4A40"/>
    <w:rsid w:val="57361164"/>
    <w:rsid w:val="576E3F40"/>
    <w:rsid w:val="57E27D90"/>
    <w:rsid w:val="583C0450"/>
    <w:rsid w:val="58817F6E"/>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833742"/>
    <w:rsid w:val="72A077AF"/>
    <w:rsid w:val="739D49E3"/>
    <w:rsid w:val="73CB043E"/>
    <w:rsid w:val="73CB324C"/>
    <w:rsid w:val="74BB2183"/>
    <w:rsid w:val="74CD5B6B"/>
    <w:rsid w:val="755A4768"/>
    <w:rsid w:val="756643EA"/>
    <w:rsid w:val="75AE6D19"/>
    <w:rsid w:val="76D0305C"/>
    <w:rsid w:val="76D101FA"/>
    <w:rsid w:val="77923033"/>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character" w:styleId="8">
    <w:name w:val="Strong"/>
    <w:basedOn w:val="7"/>
    <w:qFormat/>
    <w:uiPriority w:val="0"/>
    <w:rPr>
      <w:b/>
    </w:rPr>
  </w:style>
  <w:style w:type="paragraph" w:customStyle="1" w:styleId="9">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10">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2025-11-10T08:45:55Z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41785A246A154191AC22B69E61F77208</vt:lpwstr>
  </property>
  <property fmtid="{D5CDD505-2E9C-101B-9397-08002B2CF9AE}" pid="4" name="KSOTemplateDocerSaveRecord">
    <vt:lpwstr>eyJoZGlkIjoiYmVjM2IxYjNlNTBhZDZkYzkxZmNlODQ2MDA1YWY4MTQiLCJ1c2VySWQiOiI2NTYzNjI1NzQifQ==</vt:lpwstr>
  </property>
</Properties>
</file>