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DE94F">
      <w:pPr>
        <w:jc w:val="center"/>
      </w:pPr>
      <w:bookmarkStart w:id="0" w:name="_GoBack"/>
      <w:bookmarkEnd w:id="0"/>
      <w:r>
        <w:rPr>
          <w:b/>
          <w:sz w:val="40"/>
        </w:rPr>
        <w:t>MATLAB 纯仿真模型说明报告</w:t>
      </w:r>
      <w:r>
        <w:rPr>
          <w:b/>
          <w:sz w:val="40"/>
        </w:rPr>
        <w:br w:type="textWrapping"/>
      </w:r>
    </w:p>
    <w:p w14:paraId="13DB488E">
      <w:pPr>
        <w:jc w:val="center"/>
      </w:pPr>
      <w:r>
        <w:rPr>
          <w:b/>
          <w:sz w:val="28"/>
        </w:rPr>
        <w:t>低轨（LEO）卫星通信系统 EMC 仿真（通信视角）</w:t>
      </w:r>
      <w:r>
        <w:rPr>
          <w:b/>
          <w:sz w:val="28"/>
        </w:rPr>
        <w:br w:type="textWrapping"/>
      </w:r>
    </w:p>
    <w:p w14:paraId="176E7899">
      <w:pPr>
        <w:jc w:val="center"/>
      </w:pPr>
      <w:r>
        <w:rPr>
          <w:color w:val="555555"/>
          <w:sz w:val="20"/>
        </w:rPr>
        <w:t>对应代码：LEO_EMC_Sim.m</w:t>
      </w:r>
      <w:r>
        <w:rPr>
          <w:color w:val="555555"/>
          <w:sz w:val="20"/>
        </w:rPr>
        <w:br w:type="textWrapping"/>
      </w:r>
      <w:r>
        <w:rPr>
          <w:color w:val="555555"/>
          <w:sz w:val="20"/>
        </w:rPr>
        <w:t>生成日期：2026-01-12</w:t>
      </w:r>
      <w:r>
        <w:rPr>
          <w:color w:val="555555"/>
          <w:sz w:val="20"/>
        </w:rPr>
        <w:br w:type="textWrapping"/>
      </w:r>
    </w:p>
    <w:p w14:paraId="2F1D99A6"/>
    <w:p w14:paraId="6D37E888">
      <w:r>
        <w:rPr>
          <w:b/>
        </w:rPr>
        <w:t>阅读提示：</w:t>
      </w:r>
      <w:r>
        <w:t>本文尽量用“人话”解释每个模块与指标。你不需要通信或电磁基础，只要按“是什么 → 为什么重要 → 代码里在哪里 → 怎么调参”来读即可。</w:t>
      </w:r>
    </w:p>
    <w:p w14:paraId="193CB325">
      <w:pPr>
        <w:pStyle w:val="3"/>
      </w:pPr>
      <w:r>
        <w:t>0. 这份仿真到底在解决什么问题（一句话）</w:t>
      </w:r>
    </w:p>
    <w:p w14:paraId="735130B6">
      <w:r>
        <w:t>把“EMC里的电磁干扰”翻译成通信结果：干扰来了会让信号变差，从而导致误码增加、帧解码失败、吞吐下降，甚至掉线。该模型在 MATLAB 中纯仿真计算这些影响的大小。</w:t>
      </w:r>
    </w:p>
    <w:p w14:paraId="50DDFB73">
      <w:pPr>
        <w:pStyle w:val="3"/>
      </w:pPr>
      <w:r>
        <w:t>1. EMC（通信视角）在本代码里怎么理解？</w:t>
      </w:r>
    </w:p>
    <w:p w14:paraId="4EA24D64">
      <w:r>
        <w:t>传统 EMC 常关注“辐射超标/干扰别人”。但对卫星通信终端，更直接的问题是“还能不能正常通信”。因此，本模型把 EMC 的影响统一视为接收端出现额外的干扰与失真。</w:t>
      </w:r>
    </w:p>
    <w:p w14:paraId="3F68D4A1">
      <w:r>
        <w:t>核心公式：</w:t>
      </w:r>
    </w:p>
    <w:p w14:paraId="3808E591">
      <w:r>
        <w:rPr>
          <w:b/>
        </w:rPr>
        <w:t>SINR = C / (N + I)</w:t>
      </w:r>
    </w:p>
    <w:p w14:paraId="437C88ED">
      <w:r>
        <w:t>其中：C 是期望信号功率（你想接收的卫星信号），N 是噪声功率（热噪声与接收机噪声系数造成），I 是干扰功率（同频/邻频/脉冲/同址等）。</w:t>
      </w:r>
    </w:p>
    <w:p w14:paraId="692A06E7">
      <w:pPr>
        <w:pStyle w:val="3"/>
      </w:pPr>
      <w:r>
        <w:t>2. 代码整体结构（先看懂流程）</w:t>
      </w:r>
    </w:p>
    <w:p w14:paraId="6D8156B3">
      <w:r>
        <w:t>代码主流程可概括为四步：</w:t>
      </w:r>
    </w:p>
    <w:p w14:paraId="7FE19072">
      <w:pPr>
        <w:pStyle w:val="14"/>
      </w:pPr>
      <w:r>
        <w:t>生成 LEO 过顶几何：距离 R(t)、仰角 El(t)、径向速度 v_r(t) 与多普勒 fD(t)。</w:t>
      </w:r>
    </w:p>
    <w:p w14:paraId="1644AB67">
      <w:pPr>
        <w:pStyle w:val="14"/>
      </w:pPr>
      <w:r>
        <w:t>链路预算：由发射 EIRP、接收增益 Gr、路径损耗 FSPL 等得到期望信号功率 C(t)。</w:t>
      </w:r>
    </w:p>
    <w:p w14:paraId="4EE532E8">
      <w:pPr>
        <w:pStyle w:val="14"/>
      </w:pPr>
      <w:r>
        <w:t>噪声与干扰：由带宽 B 与噪声系数 NF 得到噪声 N；按 EMC 场景生成干扰 I(t)。</w:t>
      </w:r>
    </w:p>
    <w:p w14:paraId="1F08AE59">
      <w:pPr>
        <w:pStyle w:val="14"/>
      </w:pPr>
      <w:r>
        <w:t>波形级仿真：发射比特 → 编码 → 调制 → 信道/多普勒/干扰/噪声 → 接收补偿/解调/译码 → 统计 BER/BLER/吞吐。</w:t>
      </w:r>
    </w:p>
    <w:p w14:paraId="41F7BBB8">
      <w:pPr>
        <w:pStyle w:val="3"/>
      </w:pPr>
      <w:r>
        <w:t>3. 重要指标解释（零基础版）</w:t>
      </w:r>
    </w:p>
    <w:p w14:paraId="37521DDA">
      <w:pPr>
        <w:pStyle w:val="4"/>
      </w:pPr>
      <w:r>
        <w:t>3.1 几何与动态指标</w:t>
      </w:r>
    </w:p>
    <w:p w14:paraId="52819BD9">
      <w:r>
        <w:rPr>
          <w:b/>
        </w:rPr>
        <w:t>R(t)：斜距（km）</w:t>
      </w:r>
      <w:r>
        <w:t>：卫星与终端之间的瞬时距离。越远，路径损耗越大，信号越弱。</w:t>
      </w:r>
    </w:p>
    <w:p w14:paraId="7AA0D392">
      <w:r>
        <w:rPr>
          <w:b/>
        </w:rPr>
        <w:t>El(t)：仰角（deg）</w:t>
      </w:r>
      <w:r>
        <w:t>：抬头看卫星的角度。越接近 90° 越好；接近 0° 表示贴地平线，通常链路更差。</w:t>
      </w:r>
    </w:p>
    <w:p w14:paraId="785579AA">
      <w:r>
        <w:rPr>
          <w:b/>
        </w:rPr>
        <w:t>v_r(t)：径向速度（m/s）</w:t>
      </w:r>
      <w:r>
        <w:t>：卫星相对终端的靠近/远离速度。决定多普勒的正负与大小。</w:t>
      </w:r>
    </w:p>
    <w:p w14:paraId="0FED926F">
      <w:r>
        <w:rPr>
          <w:b/>
        </w:rPr>
        <w:t>fD(t)：多普勒频偏（Hz）</w:t>
      </w:r>
      <w:r>
        <w:t>：由于卫星高速运动导致接收频率偏移。多普勒越大，同步与解调越难，干扰更容易导致掉线。</w:t>
      </w:r>
    </w:p>
    <w:p w14:paraId="7739D4FB">
      <w:pPr>
        <w:pStyle w:val="4"/>
      </w:pPr>
      <w:r>
        <w:t>3.2 功率与质量指标（链路预算输出）</w:t>
      </w:r>
    </w:p>
    <w:p w14:paraId="0CEDD378">
      <w:r>
        <w:rPr>
          <w:b/>
        </w:rPr>
        <w:t>C：期望信号功率（W）</w:t>
      </w:r>
      <w:r>
        <w:t>：链路预算计算得到的接收信号功率。主要受距离/频率/天线增益/发射等效功率影响。</w:t>
      </w:r>
    </w:p>
    <w:p w14:paraId="03752417">
      <w:r>
        <w:rPr>
          <w:b/>
        </w:rPr>
        <w:t>N：噪声功率（W）</w:t>
      </w:r>
      <w:r>
        <w:t>：由 N = k·T·B·F 计算。带宽 B 越大、噪声系数 NF 越大，噪声越大。</w:t>
      </w:r>
    </w:p>
    <w:p w14:paraId="081B2245">
      <w:r>
        <w:rPr>
          <w:b/>
        </w:rPr>
        <w:t>I：干扰功率（W）</w:t>
      </w:r>
      <w:r>
        <w:t>：EMC 场景注入的“捣乱能量”。常用 J/S（干扰功率/信号功率）描述。</w:t>
      </w:r>
    </w:p>
    <w:p w14:paraId="179217C9">
      <w:r>
        <w:rPr>
          <w:b/>
        </w:rPr>
        <w:t>SINR（dB）</w:t>
      </w:r>
      <w:r>
        <w:t>：信号与噪声+干扰的比值。越大越好，是最核心的通信质量指标之一。</w:t>
      </w:r>
    </w:p>
    <w:p w14:paraId="1219D317">
      <w:pPr>
        <w:pStyle w:val="4"/>
      </w:pPr>
      <w:r>
        <w:t>3.3 通信性能指标（波形级输出）</w:t>
      </w:r>
    </w:p>
    <w:p w14:paraId="0EF814B6">
      <w:r>
        <w:rPr>
          <w:b/>
        </w:rPr>
        <w:t>BER（Bit Error Rate）</w:t>
      </w:r>
      <w:r>
        <w:t>：比特错误率：所有比特中错误的比例。越小越好（如 1e-5）。</w:t>
      </w:r>
    </w:p>
    <w:p w14:paraId="7558D575">
      <w:r>
        <w:rPr>
          <w:b/>
        </w:rPr>
        <w:t>BLER（Block Error Rate）</w:t>
      </w:r>
      <w:r>
        <w:t>：块/帧错误率：一帧只要有 1 个比特错，就判定整帧失败。更贴近上层体验。</w:t>
      </w:r>
    </w:p>
    <w:p w14:paraId="27D08801">
      <w:r>
        <w:rPr>
          <w:b/>
        </w:rPr>
        <w:t>Throughput（吞吐，bps）</w:t>
      </w:r>
      <w:r>
        <w:t>：有效速率：只有译码成功的帧才计入吞吐，译码失败帧记为 0。吞吐越高用户体验越好。</w:t>
      </w:r>
    </w:p>
    <w:p w14:paraId="004BF03E">
      <w:pPr>
        <w:pStyle w:val="3"/>
      </w:pPr>
      <w:r>
        <w:t>4. 关键因素如何影响结果（直觉解释）</w:t>
      </w:r>
    </w:p>
    <w:p w14:paraId="23793CF5">
      <w:r>
        <w:t>你可以用下面的“因果链”理解大多数结果：</w:t>
      </w:r>
    </w:p>
    <w:p w14:paraId="0EEDE791">
      <w:pPr>
        <w:pStyle w:val="16"/>
      </w:pPr>
      <w:r>
        <w:t>距离更远/天线更差/发射更弱 → C 变小 → SINR 下降 → BLER 上升 → 吞吐下降。</w:t>
      </w:r>
    </w:p>
    <w:p w14:paraId="21DF3299">
      <w:pPr>
        <w:pStyle w:val="16"/>
      </w:pPr>
      <w:r>
        <w:t>带宽更大/噪声系数更大 → N 变大 → SINR 下降 → 性能变差。</w:t>
      </w:r>
    </w:p>
    <w:p w14:paraId="4254FFE1">
      <w:pPr>
        <w:pStyle w:val="16"/>
      </w:pPr>
      <w:r>
        <w:t>干扰更强（J/S 更大）→ I 变大 → SINR 下降 → 更容易掉线。</w:t>
      </w:r>
    </w:p>
    <w:p w14:paraId="38AB6C7E">
      <w:pPr>
        <w:pStyle w:val="16"/>
      </w:pPr>
      <w:r>
        <w:t>多普勒更大/补偿更差 → 同步更难 → 在同样 SINR 下也可能更容易 BLER 上升。</w:t>
      </w:r>
    </w:p>
    <w:p w14:paraId="4B88FB02">
      <w:pPr>
        <w:pStyle w:val="3"/>
      </w:pPr>
      <w:r>
        <w:t>5. 干扰（EMC）场景库：每种场景代表什么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CA8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6D3897">
            <w:r>
              <w:t>cfg.interf.type</w:t>
            </w:r>
          </w:p>
        </w:tc>
        <w:tc>
          <w:tcPr>
            <w:tcW w:w="2880" w:type="dxa"/>
          </w:tcPr>
          <w:p w14:paraId="0A0F9E5D">
            <w:r>
              <w:t>含义（人话）</w:t>
            </w:r>
          </w:p>
        </w:tc>
        <w:tc>
          <w:tcPr>
            <w:tcW w:w="2880" w:type="dxa"/>
          </w:tcPr>
          <w:p w14:paraId="015D0E39">
            <w:r>
              <w:t>主要可调参数</w:t>
            </w:r>
          </w:p>
        </w:tc>
      </w:tr>
      <w:tr w14:paraId="53AA1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F6ADBB">
            <w:r>
              <w:t>none</w:t>
            </w:r>
          </w:p>
        </w:tc>
        <w:tc>
          <w:tcPr>
            <w:tcW w:w="2880" w:type="dxa"/>
          </w:tcPr>
          <w:p w14:paraId="3D4A6DF8">
            <w:r>
              <w:t>无干扰（只含噪声）。用于验证基线是否正常。</w:t>
            </w:r>
          </w:p>
        </w:tc>
        <w:tc>
          <w:tcPr>
            <w:tcW w:w="2880" w:type="dxa"/>
          </w:tcPr>
          <w:p w14:paraId="31359028">
            <w:r>
              <w:t>—</w:t>
            </w:r>
          </w:p>
        </w:tc>
      </w:tr>
      <w:tr w14:paraId="004DE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B2893">
            <w:r>
              <w:t>cochannel_awgn</w:t>
            </w:r>
          </w:p>
        </w:tc>
        <w:tc>
          <w:tcPr>
            <w:tcW w:w="2880" w:type="dxa"/>
          </w:tcPr>
          <w:p w14:paraId="548FB04A">
            <w:r>
              <w:t>同频宽带噪声干扰：像“有人在同频道用噪声盖住你”。</w:t>
            </w:r>
          </w:p>
        </w:tc>
        <w:tc>
          <w:tcPr>
            <w:tcW w:w="2880" w:type="dxa"/>
          </w:tcPr>
          <w:p w14:paraId="1DDC7D3A">
            <w:r>
              <w:t>JS_dB</w:t>
            </w:r>
          </w:p>
        </w:tc>
      </w:tr>
      <w:tr w14:paraId="475AA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00BD65">
            <w:r>
              <w:t>cochannel_tone</w:t>
            </w:r>
          </w:p>
        </w:tc>
        <w:tc>
          <w:tcPr>
            <w:tcW w:w="2880" w:type="dxa"/>
          </w:tcPr>
          <w:p w14:paraId="5445A5DC">
            <w:r>
              <w:t>同频单音干扰：像“哨子声/纯音”持续捣乱。</w:t>
            </w:r>
          </w:p>
        </w:tc>
        <w:tc>
          <w:tcPr>
            <w:tcW w:w="2880" w:type="dxa"/>
          </w:tcPr>
          <w:p w14:paraId="162B449E">
            <w:r>
              <w:t>JS_dB, toneOffset_Hz</w:t>
            </w:r>
          </w:p>
        </w:tc>
      </w:tr>
      <w:tr w14:paraId="7D932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D224CA">
            <w:r>
              <w:t>pulsed_noise</w:t>
            </w:r>
          </w:p>
        </w:tc>
        <w:tc>
          <w:tcPr>
            <w:tcW w:w="2880" w:type="dxa"/>
          </w:tcPr>
          <w:p w14:paraId="77DE69BE">
            <w:r>
              <w:t>脉冲噪声干扰：时不时突然很强，常导致同步/解码崩掉。</w:t>
            </w:r>
          </w:p>
        </w:tc>
        <w:tc>
          <w:tcPr>
            <w:tcW w:w="2880" w:type="dxa"/>
          </w:tcPr>
          <w:p w14:paraId="2C9EF11F">
            <w:r>
              <w:t>JS_dB, duty, period_sym</w:t>
            </w:r>
          </w:p>
        </w:tc>
      </w:tr>
      <w:tr w14:paraId="72B91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EF565A">
            <w:r>
              <w:t>adjacent_acir</w:t>
            </w:r>
          </w:p>
        </w:tc>
        <w:tc>
          <w:tcPr>
            <w:tcW w:w="2880" w:type="dxa"/>
          </w:tcPr>
          <w:p w14:paraId="154912E2">
            <w:r>
              <w:t>邻频等效干扰：隔壁频道泄漏进来，用 ACIR 折算到本带。</w:t>
            </w:r>
          </w:p>
        </w:tc>
        <w:tc>
          <w:tcPr>
            <w:tcW w:w="2880" w:type="dxa"/>
          </w:tcPr>
          <w:p w14:paraId="56E22EFE">
            <w:r>
              <w:t>ACIR_dB</w:t>
            </w:r>
          </w:p>
        </w:tc>
      </w:tr>
      <w:tr w14:paraId="445C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FE63FE">
            <w:r>
              <w:t>cosite_equiv</w:t>
            </w:r>
          </w:p>
        </w:tc>
        <w:tc>
          <w:tcPr>
            <w:tcW w:w="2880" w:type="dxa"/>
          </w:tcPr>
          <w:p w14:paraId="7AF43127">
            <w:r>
              <w:t>同址等效干扰：车上其它设备通过耦合进入接收机。</w:t>
            </w:r>
          </w:p>
        </w:tc>
        <w:tc>
          <w:tcPr>
            <w:tcW w:w="2880" w:type="dxa"/>
          </w:tcPr>
          <w:p w14:paraId="1E4D3015">
            <w:r>
              <w:t>cosite_coupling_dB, cosite_src_P_dBW</w:t>
            </w:r>
          </w:p>
        </w:tc>
      </w:tr>
    </w:tbl>
    <w:p w14:paraId="1C24BF8C">
      <w:r>
        <w:t>提示：J/S（dB）越大表示干扰越强。例如 -10 dB 表示干扰比信号弱很多；0 dB 表示一样强；+10 dB 表示干扰比信号强 10 倍。</w:t>
      </w:r>
    </w:p>
    <w:p w14:paraId="3F67742E">
      <w:pPr>
        <w:pStyle w:val="3"/>
      </w:pPr>
      <w:r>
        <w:t>6. CFO（频偏）补偿方式：ideal vs estimate</w:t>
      </w:r>
    </w:p>
    <w:p w14:paraId="7E848121">
      <w:r>
        <w:t>接收机需要对多普勒造成的频偏进行补偿，否则星座图会旋转，导致误码和解码失败。代码提供两种方式：</w:t>
      </w:r>
    </w:p>
    <w:p w14:paraId="200EDB3D">
      <w:pPr>
        <w:pStyle w:val="16"/>
      </w:pPr>
      <w:r>
        <w:t>ideal：假设接收机知道真实频偏并完美补偿（乐观上限）。</w:t>
      </w:r>
    </w:p>
    <w:p w14:paraId="1C3AEBA5">
      <w:pPr>
        <w:pStyle w:val="16"/>
      </w:pPr>
      <w:r>
        <w:t>estimate：用重复前导估计频偏再补偿（更真实，也更能体现 LEO 的挑战）。</w:t>
      </w:r>
    </w:p>
    <w:p w14:paraId="617520D6">
      <w:r>
        <w:t>在 estimate 模式下，前导越长通常估计越稳定，但可估计的频偏范围会变窄。</w:t>
      </w:r>
    </w:p>
    <w:p w14:paraId="5AC1B536">
      <w:pPr>
        <w:pStyle w:val="3"/>
      </w:pPr>
      <w:r>
        <w:t>7. 输出图怎么读（每张图代表什么）</w:t>
      </w:r>
    </w:p>
    <w:p w14:paraId="6586D839">
      <w:pPr>
        <w:pStyle w:val="4"/>
      </w:pPr>
      <w:r>
        <w:t>7.1 LEO 几何与多普勒图</w:t>
      </w:r>
    </w:p>
    <w:p w14:paraId="4918199F">
      <w:r>
        <w:t>包含 R(t)、El(t)、fD(t)。通常过顶（t≈0）时距离最小、仰角最高；多普勒会随“靠近/远离”变化并可能过零。</w:t>
      </w:r>
    </w:p>
    <w:p w14:paraId="3EC1A264">
      <w:pPr>
        <w:pStyle w:val="4"/>
      </w:pPr>
      <w:r>
        <w:t>7.2 C/N/I 与 SINR（系统级）</w:t>
      </w:r>
    </w:p>
    <w:p w14:paraId="7D0FB920">
      <w:r>
        <w:t>这一页展示链路预算的核心结果：信号功率 C、噪声 N、干扰 I，以及最终 SINR。你可以把 SINR 理解为“接收质量总分”。</w:t>
      </w:r>
    </w:p>
    <w:p w14:paraId="68ECA5A8">
      <w:pPr>
        <w:pStyle w:val="4"/>
      </w:pPr>
      <w:r>
        <w:t>7.3 波形级评估点结果（BER/BLER/吞吐）</w:t>
      </w:r>
    </w:p>
    <w:p w14:paraId="2251DCE9">
      <w:r>
        <w:t>代码会在可见时间内选若干个评估点做“真实收发流程”，输出 BER、BLER、吞吐。吞吐只统计译码成功的帧，因此 BLER 高时吞吐会明显下降。</w:t>
      </w:r>
    </w:p>
    <w:p w14:paraId="3C23F733">
      <w:pPr>
        <w:pStyle w:val="3"/>
      </w:pPr>
      <w:r>
        <w:t>8. 新手操作指南：如何做一套像论文一样的对比实验</w:t>
      </w:r>
    </w:p>
    <w:p w14:paraId="5EA5BCDA">
      <w:r>
        <w:t>你只需要改动少量配置即可完成常见对比：</w:t>
      </w:r>
    </w:p>
    <w:p w14:paraId="66B3827A">
      <w:pPr>
        <w:pStyle w:val="16"/>
      </w:pPr>
      <w:r>
        <w:t>实验 A：固定 type='cochannel_awgn'，扫 JS_dB（例如 -20 到 +10），画平均 BLER/吞吐 vs JS_dB。</w:t>
      </w:r>
    </w:p>
    <w:p w14:paraId="2E7CBAB4">
      <w:pPr>
        <w:pStyle w:val="16"/>
      </w:pPr>
      <w:r>
        <w:t>实验 B：将 rx.cfoMethod 从 ideal 改为 estimate，对比多普勒补偿误差对 BLER/吞吐的影响。</w:t>
      </w:r>
    </w:p>
    <w:p w14:paraId="617F34C6">
      <w:pPr>
        <w:pStyle w:val="16"/>
      </w:pPr>
      <w:r>
        <w:t>实验 C：对比 cochannel_awgn 与 pulsed_noise，观察脉冲干扰对同步与译码的“瞬时打爆”效应。</w:t>
      </w:r>
    </w:p>
    <w:p w14:paraId="74721E11">
      <w:pPr>
        <w:pStyle w:val="16"/>
      </w:pPr>
      <w:r>
        <w:t>实验 D：type='adjacent_acir'，扫 ACIR_dB（10/20/30/40），评估邻频泄漏对性能的敏感性。</w:t>
      </w:r>
    </w:p>
    <w:p w14:paraId="2F87A910">
      <w:pPr>
        <w:pStyle w:val="16"/>
      </w:pPr>
      <w:r>
        <w:t>实验 E：type='cosite_equiv'，扫 cosite_coupling_dB（-80 到 -40），评估同址耦合强弱对性能的影响。</w:t>
      </w:r>
    </w:p>
    <w:p w14:paraId="09F170CA">
      <w:pPr>
        <w:pStyle w:val="3"/>
      </w:pPr>
      <w:r>
        <w:t>9. 模型简化假设（避免误解）</w:t>
      </w:r>
    </w:p>
    <w:p w14:paraId="51C84A9A">
      <w:r>
        <w:t>为保证零基础可读与可运行，本模型做了简化：</w:t>
      </w:r>
    </w:p>
    <w:p w14:paraId="50CBD596">
      <w:pPr>
        <w:pStyle w:val="16"/>
      </w:pPr>
      <w:r>
        <w:t>轨道几何为二维圆轨道近似，不是精确星历。</w:t>
      </w:r>
    </w:p>
    <w:p w14:paraId="610D4F8E">
      <w:pPr>
        <w:pStyle w:val="16"/>
      </w:pPr>
      <w:r>
        <w:t>信道为平坦 Rician（可开关），未引入显式多径时延扩展。</w:t>
      </w:r>
    </w:p>
    <w:p w14:paraId="35E9FC75">
      <w:pPr>
        <w:pStyle w:val="16"/>
      </w:pPr>
      <w:r>
        <w:t>通信体制为 QPSK + 卷积码 + 硬判决 Viterbi，用于展示 EMC→通信指标的主链路。</w:t>
      </w:r>
    </w:p>
    <w:p w14:paraId="74B71056">
      <w:pPr>
        <w:pStyle w:val="16"/>
      </w:pPr>
      <w:r>
        <w:t>邻频与同址干扰以“等效功率/等效噪声”方式建模，便于扫参。</w:t>
      </w:r>
    </w:p>
    <w:p w14:paraId="41F48398">
      <w:r>
        <w:t>这些简化不影响方法框架；后续可逐步替换为 NR NTN 或 DVB-S2X 等更真实体制。</w:t>
      </w:r>
    </w:p>
    <w:p w14:paraId="584CCFE2">
      <w:pPr>
        <w:pStyle w:val="3"/>
      </w:pPr>
      <w:r>
        <w:t>附录 A：最常改的配置参数速查表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006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2B4C51">
            <w:r>
              <w:t>参数</w:t>
            </w:r>
          </w:p>
        </w:tc>
        <w:tc>
          <w:tcPr>
            <w:tcW w:w="2880" w:type="dxa"/>
          </w:tcPr>
          <w:p w14:paraId="5505BD7B">
            <w:r>
              <w:t>它控制什么</w:t>
            </w:r>
          </w:p>
        </w:tc>
        <w:tc>
          <w:tcPr>
            <w:tcW w:w="2880" w:type="dxa"/>
          </w:tcPr>
          <w:p w14:paraId="4A70D916">
            <w:r>
              <w:t>改大/改小的直觉影响</w:t>
            </w:r>
          </w:p>
        </w:tc>
      </w:tr>
      <w:tr w14:paraId="64BA9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FDB729">
            <w:r>
              <w:t>cfg.link.EIRP_dBW</w:t>
            </w:r>
          </w:p>
        </w:tc>
        <w:tc>
          <w:tcPr>
            <w:tcW w:w="2880" w:type="dxa"/>
          </w:tcPr>
          <w:p w14:paraId="5EF5A1CA">
            <w:r>
              <w:t>发射等效全向辐射功率</w:t>
            </w:r>
          </w:p>
        </w:tc>
        <w:tc>
          <w:tcPr>
            <w:tcW w:w="2880" w:type="dxa"/>
          </w:tcPr>
          <w:p w14:paraId="1EFB7ED8">
            <w:r>
              <w:t>越大 → 信号更强 → 更抗干扰</w:t>
            </w:r>
          </w:p>
        </w:tc>
      </w:tr>
      <w:tr w14:paraId="3636F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5E11FA">
            <w:r>
              <w:t>cfg.link.Gr_dBi</w:t>
            </w:r>
          </w:p>
        </w:tc>
        <w:tc>
          <w:tcPr>
            <w:tcW w:w="2880" w:type="dxa"/>
          </w:tcPr>
          <w:p w14:paraId="27959F98">
            <w:r>
              <w:t>接收天线增益</w:t>
            </w:r>
          </w:p>
        </w:tc>
        <w:tc>
          <w:tcPr>
            <w:tcW w:w="2880" w:type="dxa"/>
          </w:tcPr>
          <w:p w14:paraId="4610FB49">
            <w:r>
              <w:t>越大 → 信号更强</w:t>
            </w:r>
          </w:p>
        </w:tc>
      </w:tr>
      <w:tr w14:paraId="58BEE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055437">
            <w:r>
              <w:t>cfg.link.Lmisc_dB</w:t>
            </w:r>
          </w:p>
        </w:tc>
        <w:tc>
          <w:tcPr>
            <w:tcW w:w="2880" w:type="dxa"/>
          </w:tcPr>
          <w:p w14:paraId="28D53E45">
            <w:r>
              <w:t>杂项损耗</w:t>
            </w:r>
          </w:p>
        </w:tc>
        <w:tc>
          <w:tcPr>
            <w:tcW w:w="2880" w:type="dxa"/>
          </w:tcPr>
          <w:p w14:paraId="0751BDB7">
            <w:r>
              <w:t>越大 → 信号更弱</w:t>
            </w:r>
          </w:p>
        </w:tc>
      </w:tr>
      <w:tr w14:paraId="37061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EBEA10">
            <w:r>
              <w:t>cfg.phy.fc_Hz</w:t>
            </w:r>
          </w:p>
        </w:tc>
        <w:tc>
          <w:tcPr>
            <w:tcW w:w="2880" w:type="dxa"/>
          </w:tcPr>
          <w:p w14:paraId="0D195A5B">
            <w:r>
              <w:t>载频（影响多普勒与FSPL）</w:t>
            </w:r>
          </w:p>
        </w:tc>
        <w:tc>
          <w:tcPr>
            <w:tcW w:w="2880" w:type="dxa"/>
          </w:tcPr>
          <w:p w14:paraId="6D676343">
            <w:r>
              <w:t>越高 → 多普勒更大、FSPL更大</w:t>
            </w:r>
          </w:p>
        </w:tc>
      </w:tr>
      <w:tr w14:paraId="68C3A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88AC76">
            <w:r>
              <w:t>cfg.phy.B_Hz</w:t>
            </w:r>
          </w:p>
        </w:tc>
        <w:tc>
          <w:tcPr>
            <w:tcW w:w="2880" w:type="dxa"/>
          </w:tcPr>
          <w:p w14:paraId="6E657C9D">
            <w:r>
              <w:t>带宽（影响噪声）</w:t>
            </w:r>
          </w:p>
        </w:tc>
        <w:tc>
          <w:tcPr>
            <w:tcW w:w="2880" w:type="dxa"/>
          </w:tcPr>
          <w:p w14:paraId="12E2AEFF">
            <w:r>
              <w:t>越大 → 噪声更大（N=kTB）</w:t>
            </w:r>
          </w:p>
        </w:tc>
      </w:tr>
      <w:tr w14:paraId="1C5EF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ED4721">
            <w:r>
              <w:t>cfg.rx.NF_dB</w:t>
            </w:r>
          </w:p>
        </w:tc>
        <w:tc>
          <w:tcPr>
            <w:tcW w:w="2880" w:type="dxa"/>
          </w:tcPr>
          <w:p w14:paraId="27DD9720">
            <w:r>
              <w:t>噪声系数</w:t>
            </w:r>
          </w:p>
        </w:tc>
        <w:tc>
          <w:tcPr>
            <w:tcW w:w="2880" w:type="dxa"/>
          </w:tcPr>
          <w:p w14:paraId="5CF4030B">
            <w:r>
              <w:t>越大 → 噪声更大</w:t>
            </w:r>
          </w:p>
        </w:tc>
      </w:tr>
      <w:tr w14:paraId="6DA69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2106AA">
            <w:r>
              <w:t>cfg.interf.JS_dB</w:t>
            </w:r>
          </w:p>
        </w:tc>
        <w:tc>
          <w:tcPr>
            <w:tcW w:w="2880" w:type="dxa"/>
          </w:tcPr>
          <w:p w14:paraId="7256663E">
            <w:r>
              <w:t>干扰强度（同频/脉冲/单音）</w:t>
            </w:r>
          </w:p>
        </w:tc>
        <w:tc>
          <w:tcPr>
            <w:tcW w:w="2880" w:type="dxa"/>
          </w:tcPr>
          <w:p w14:paraId="4691C718">
            <w:r>
              <w:t>越大 → 干扰更强 → 性能更差</w:t>
            </w:r>
          </w:p>
        </w:tc>
      </w:tr>
      <w:tr w14:paraId="2A568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EA7380">
            <w:r>
              <w:t>cfg.interf.ACIR_dB</w:t>
            </w:r>
          </w:p>
        </w:tc>
        <w:tc>
          <w:tcPr>
            <w:tcW w:w="2880" w:type="dxa"/>
          </w:tcPr>
          <w:p w14:paraId="149AB8B6">
            <w:r>
              <w:t>邻频等效隔离</w:t>
            </w:r>
          </w:p>
        </w:tc>
        <w:tc>
          <w:tcPr>
            <w:tcW w:w="2880" w:type="dxa"/>
          </w:tcPr>
          <w:p w14:paraId="49077B9D">
            <w:r>
              <w:t>越大 → 邻频泄漏越少 → 性能更好</w:t>
            </w:r>
          </w:p>
        </w:tc>
      </w:tr>
      <w:tr w14:paraId="6A732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611C6E">
            <w:r>
              <w:t>cfg.rx.cfoMethod</w:t>
            </w:r>
          </w:p>
        </w:tc>
        <w:tc>
          <w:tcPr>
            <w:tcW w:w="2880" w:type="dxa"/>
          </w:tcPr>
          <w:p w14:paraId="54AAC9F4">
            <w:r>
              <w:t>频偏补偿方式</w:t>
            </w:r>
          </w:p>
        </w:tc>
        <w:tc>
          <w:tcPr>
            <w:tcW w:w="2880" w:type="dxa"/>
          </w:tcPr>
          <w:p w14:paraId="3AF37A7A">
            <w:r>
              <w:t>estimate 更真实，可能更差但更符合LEO挑战</w:t>
            </w:r>
          </w:p>
        </w:tc>
      </w:tr>
      <w:tr w14:paraId="3E945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A3D931">
            <w:r>
              <w:t>cfg.sim.numFramesPerPoint</w:t>
            </w:r>
          </w:p>
        </w:tc>
        <w:tc>
          <w:tcPr>
            <w:tcW w:w="2880" w:type="dxa"/>
          </w:tcPr>
          <w:p w14:paraId="1124272A">
            <w:r>
              <w:t>每点帧数（统计精度）</w:t>
            </w:r>
          </w:p>
        </w:tc>
        <w:tc>
          <w:tcPr>
            <w:tcW w:w="2880" w:type="dxa"/>
          </w:tcPr>
          <w:p w14:paraId="041EA862">
            <w:r>
              <w:t>越大 → 结果更稳但更慢</w:t>
            </w:r>
          </w:p>
        </w:tc>
      </w:tr>
    </w:tbl>
    <w:p w14:paraId="356A984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C5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1F1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1F1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1F1F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qFormat/>
    <w:uiPriority w:val="0"/>
    <w:pPr>
      <w:spacing w:after="200" w:line="276" w:lineRule="auto"/>
    </w:pPr>
    <w:rPr>
      <w:rFonts w:ascii="Consolas" w:hAnsi="Consolas" w:eastAsia="Consolas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2184</Words>
  <Characters>2848</Characters>
  <Lines>0</Lines>
  <Paragraphs>0</Paragraphs>
  <TotalTime>0</TotalTime>
  <ScaleCrop>false</ScaleCrop>
  <LinksUpToDate>false</LinksUpToDate>
  <CharactersWithSpaces>3054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morty</cp:lastModifiedBy>
  <dcterms:modified xsi:type="dcterms:W3CDTF">2026-01-12T09:08:46Z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10994ABD5B994E4D8D916161A3F0F0D1_13</vt:lpwstr>
  </property>
</Properties>
</file>