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05BFB">
      <w:pPr>
        <w:pStyle w:val="2"/>
        <w:keepNext w:val="0"/>
        <w:keepLines w:val="0"/>
        <w:widowControl/>
        <w:suppressLineNumbers w:val="0"/>
      </w:pPr>
      <w:r>
        <w:t>车载低轨卫星通信系统 EMC 仿真平台总结</w:t>
      </w:r>
    </w:p>
    <w:p w14:paraId="1FCAC052">
      <w:pPr>
        <w:pStyle w:val="3"/>
        <w:keepNext w:val="0"/>
        <w:keepLines w:val="0"/>
        <w:widowControl/>
        <w:suppressLineNumbers w:val="0"/>
      </w:pPr>
      <w:r>
        <w:t>本项目构建了一套面向车载低轨卫星通信系统的电磁兼容（EMC）仿真与验证平台，用于在系统设计阶段对通信性能、电磁干扰影响以及标准符合性进行系统化评估。该平台通过将轨道动力学建模、通信链路预算、干扰建模、最劣工况搜索以及信号分类等技术进行集成，实现对车载低轨卫星通信系统在复杂电磁环境下的全流程仿真分析。</w:t>
      </w:r>
    </w:p>
    <w:p w14:paraId="399AC6CC">
      <w:pPr>
        <w:pStyle w:val="3"/>
        <w:keepNext w:val="0"/>
        <w:keepLines w:val="0"/>
        <w:widowControl/>
        <w:suppressLineNumbers w:val="0"/>
      </w:pPr>
      <w:r>
        <w:t>在输入层面，仿真平台接收多类系统参数作为初始输入，包括卫星星座参数、车辆位置与运动状态参数、通信系统参数以及干扰源参数。星座参数主要包括轨道高度、轨道倾角、轨道面数量、每轨卫星数量以及相位因子等变量，用于构建完整的低轨卫星星座模型。车辆端参数包括车辆地理位置、移动速度以及通信终端参数，用于模拟车辆在高速运动状态下与卫星之间的通信关系。通信系统参数包括上下行通信频率（上行1.6GHz、下行1.5GHz）、通信带宽、发射功率、接收机噪声功率、天线增益、天线系数以及系统损耗等变量，用于完成通信链路预算计算。干扰参数包括干扰卫星数量、干扰发射功率、干扰天线方向图、干扰主瓣宽度以及旁瓣衰减等变量，用于构建电磁干扰环境。</w:t>
      </w:r>
    </w:p>
    <w:p w14:paraId="7FA30712">
      <w:pPr>
        <w:pStyle w:val="3"/>
        <w:keepNext w:val="0"/>
        <w:keepLines w:val="0"/>
        <w:widowControl/>
        <w:suppressLineNumbers w:val="0"/>
      </w:pPr>
      <w:r>
        <w:t>在系统建模阶段，平台首先利用 MATLAB 的 SatelliteScenario 模块建立低轨卫星星座模型，并完成轨道传播计算。通过卫星轨道参数计算得到每颗卫星在仿真时间轴上的空间位置，并计算卫星与车辆终端之间的几何关系，包括方位角、俯仰角以及卫星距离等变量。通过设置仰角阈值可以判断卫星是否处于可见状态，从而确定车辆在每一时刻可接入的卫星集合。随后系统构建卫星间链路拓扑结构，通过图论方法建立星间链路网络，并通过最短路径算法计算车辆终端到网关站之间的通信路径。</w:t>
      </w:r>
    </w:p>
    <w:p w14:paraId="0335C3D0">
      <w:pPr>
        <w:pStyle w:val="3"/>
        <w:keepNext w:val="0"/>
        <w:keepLines w:val="0"/>
        <w:widowControl/>
        <w:suppressLineNumbers w:val="0"/>
      </w:pPr>
      <w:r>
        <w:t>在通信链路建模阶段，平台通过链路预算模型计算信号传播过程中的功率变化。链路预算模型综合考虑发射功率、天线增益、自由空间路径损耗以及接收机噪声功率等因素，计算车辆终端接收信号功率。自由空间路径损耗通过卫星与车辆之间的距离和通信频率进行计算。接收信号功率与噪声功率共同决定系统信噪比（SINR），并进一步用于计算通信误码率（BER）以及通信吞吐率（Throughput）。</w:t>
      </w:r>
    </w:p>
    <w:p w14:paraId="7EF1CCF4">
      <w:pPr>
        <w:pStyle w:val="3"/>
        <w:keepNext w:val="0"/>
        <w:keepLines w:val="0"/>
        <w:widowControl/>
        <w:suppressLineNumbers w:val="0"/>
      </w:pPr>
      <w:r>
        <w:t>在电磁干扰建模方面，平台建立了干扰卫星模型。干扰信号的传播同样通过路径损耗模型计算，并结合干扰天线方向图计算干扰功率在空间中的分布。干扰功率叠加后形成系统总干扰功率。系统同时考虑同频干扰以及多卫星复用带来的共信道干扰（CoChannel Interference），并通过频率复用参数对干扰进行建模。干扰模型输出的干扰功率与信号功率共同决定系统的实时SINR。</w:t>
      </w:r>
    </w:p>
    <w:p w14:paraId="6FFDB5AE">
      <w:pPr>
        <w:pStyle w:val="3"/>
        <w:keepNext w:val="0"/>
        <w:keepLines w:val="0"/>
        <w:widowControl/>
        <w:suppressLineNumbers w:val="0"/>
      </w:pPr>
      <w:r>
        <w:t>为了分析最恶劣电磁环境下系统性能，本平台引入生成对抗网络（InfoGAN）和遗传算法（GA）联合优化机制。InfoGAN 用于生成具有代表性的干扰功率时间包络，从而模拟复杂动态干扰场景。遗传算法通过优化干扰功率尺度、干扰模式参数以及干扰时间结构等变量，在仿真过程中搜索系统性能最差的干扰组合。遗传算法的优化目标包括系统吞吐率最小化、通信中断概率最大化以及干扰能量最大化，从而得到系统最劣EMC工作场景。</w:t>
      </w:r>
    </w:p>
    <w:p w14:paraId="51E7D7C1">
      <w:pPr>
        <w:pStyle w:val="3"/>
        <w:keepNext w:val="0"/>
        <w:keepLines w:val="0"/>
        <w:widowControl/>
        <w:suppressLineNumbers w:val="0"/>
      </w:pPr>
      <w:r>
        <w:t>在信号处理模块中，平台利用短时傅里叶变换（STFT）对接收信号进行时频分析。STFT 将接收信号转换为时频谱图，从而提取信号的频谱特征。随后利用卷积神经网络 LeNet 对干扰信号进行分类识别。分类器能够识别多种干扰类型，包括单音干扰、噪声干扰以及调制干扰等，从而对干扰环境进行智能识别与评估。</w:t>
      </w:r>
    </w:p>
    <w:p w14:paraId="216F1A44">
      <w:pPr>
        <w:pStyle w:val="3"/>
        <w:keepNext w:val="0"/>
        <w:keepLines w:val="0"/>
        <w:widowControl/>
        <w:suppressLineNumbers w:val="0"/>
      </w:pPr>
      <w:r>
        <w:t>在性能评估阶段，系统计算多种通信性能指标，包括信噪比（SINR）、误码率（BER）、通信吞吐率（Throughput）、多普勒频移变化率以及通信中断概率等。其中多普勒频移变化率通过卫星相对速度计算得到，用于评估系统对高速运动场景的适应能力。系统同时计算端到端通信吞吐率，即上行链路和下行链路吞吐率中的最小值，以反映整体通信性能。</w:t>
      </w:r>
    </w:p>
    <w:p w14:paraId="5BD55536">
      <w:pPr>
        <w:pStyle w:val="3"/>
        <w:keepNext w:val="0"/>
        <w:keepLines w:val="0"/>
        <w:widowControl/>
        <w:suppressLineNumbers w:val="0"/>
      </w:pPr>
      <w:r>
        <w:t>在仿真输出阶段，平台通过可视化界面展示系统运行状态。Dashboard 界面展示通信性能曲线、干扰包络曲线以及多普勒变化曲线。Sky View 模块展示车辆上空可见卫星分布、当前服务卫星以及通信链路路径。星座图模块展示卫星星座结构以及当前通信路径。系统同时输出关键性能指标，包括平均吞吐率、通信中断概率以及干扰分类结果。</w:t>
      </w:r>
    </w:p>
    <w:p w14:paraId="64A08984">
      <w:pPr>
        <w:pStyle w:val="3"/>
        <w:keepNext w:val="0"/>
        <w:keepLines w:val="0"/>
        <w:widowControl/>
        <w:suppressLineNumbers w:val="0"/>
      </w:pPr>
      <w:r>
        <w:t>最终，仿真结果与车载低轨卫星通信系统的性能指标进行对比，以验证系统是否满足相关标准要求。评估指标包括通信信噪比大于1dB、信号强度大于1dBm、接收灵敏度优于−120dBm、宽带通信速率大于20Mbps以及多普勒频率变化率小于300Hz每秒等要求。同时系统还验证其电磁兼容性能是否满足 JA3700-MH-3-2022 标准5级要求。</w:t>
      </w:r>
    </w:p>
    <w:p w14:paraId="142DF326">
      <w:pPr>
        <w:pStyle w:val="3"/>
        <w:keepNext w:val="0"/>
        <w:keepLines w:val="0"/>
        <w:widowControl/>
        <w:suppressLineNumbers w:val="0"/>
      </w:pPr>
      <w:r>
        <w:t>通过上述仿真平台，可以在系统设计阶段提前识别潜在电磁干扰问题，评估不同干扰场景对通信性能的影响，并为车载低轨卫星通信系统的电磁兼容正向设计提供技术依据和验证工具。该平台实现了从系统参数输入、通信场景建模、干扰生成、最劣场景搜索、信号识别到性能评估的完整仿真流程，为车载卫星通信系统的设计优化和标准符合性验证提供了重要支撑。</w:t>
      </w:r>
    </w:p>
    <w:p w14:paraId="418601C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BB75E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2026-03-11T12:33:13Z</dcterms:created>
  <dc:creator>52834</dc:creator>
  <cp:lastModifiedBy>52834</cp:lastModifiedBy>
  <dcterms:modified xsi:type="dcterms:W3CDTF">2026-03-11T12:33:43Z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KSOTemplateDocerSaveRecord">
    <vt:lpwstr>eyJoZGlkIjoiOTA2YTRlY2JlZWM2OTNlNjc4YzQ3Njc0MzAwMDYwMTMiLCJ1c2VySWQiOiI2NTYzNjI1NzQifQ==</vt:lpwstr>
  </property>
  <property fmtid="{D5CDD505-2E9C-101B-9397-08002B2CF9AE}" pid="4" name="ICV">
    <vt:lpwstr>5A594B137CFA4BE8A8D2B59654E4D589_12</vt:lpwstr>
  </property>
</Properties>
</file>