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0AB6F8">
      <w:pPr>
        <w:spacing w:line="360" w:lineRule="auto"/>
        <w:ind w:firstLine="480" w:firstLineChars="200"/>
        <w:jc w:val="center"/>
        <w:rPr>
          <w:rFonts w:hint="eastAsia" w:ascii="Times New Roman" w:hAnsi="Times New Roman" w:eastAsia="宋体" w:cs="Times New Roman"/>
          <w:sz w:val="24"/>
        </w:rPr>
      </w:pPr>
      <w:r>
        <w:rPr>
          <w:rFonts w:hint="eastAsia" w:ascii="Times New Roman" w:hAnsi="Times New Roman" w:eastAsia="宋体" w:cs="Times New Roman"/>
          <w:sz w:val="24"/>
        </w:rPr>
        <w:t>试验室环境下低轨卫星通信系统EMC仿真技术研究</w:t>
      </w:r>
    </w:p>
    <w:p w14:paraId="7DAB697A">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1. 论文选题依据</w:t>
      </w:r>
    </w:p>
    <w:p w14:paraId="340659C6">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1.1 论文选题的意义</w:t>
      </w:r>
    </w:p>
    <w:p w14:paraId="4302E493">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低轨卫星通信系统作为空天地海一体化信息网络的重要组成部分，正迎来前所未有的发展机遇。以Starlink、OneWeb为代表的全球低轨卫星星座计划正在加速部署，预计未来十年内将有数万颗低轨卫星被送入轨道[1]。然而，这种爆炸式增长也带来了严峻的电磁兼容性挑战。</w:t>
      </w:r>
    </w:p>
    <w:p w14:paraId="67E1197F">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有限的轨道资源和频谱资源导致不同系统之间存在着严重的同频干扰风险[2]。低轨卫星星座具有卫星数量多、轨道构型复杂、星地相对位置动态变化等特点，使得传统的基于确定性场景的干扰分析方法难以高效、准确地评估其系统级EMC性能[3]。</w:t>
      </w:r>
    </w:p>
    <w:p w14:paraId="59EB0465">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此背景下，试验室环境下的EMC仿真技术成为在系统实际部署前进行充分验证与优化的关键手段。本研究旨在融合确定性仿真与概率性统计方法，构建一套高效、高精度的低轨卫星通信系统EMC仿真与测试评估体系。</w:t>
      </w:r>
    </w:p>
    <w:p w14:paraId="2FC0A3FF">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1.2 国内外研究现状</w:t>
      </w:r>
    </w:p>
    <w:p w14:paraId="4FDDD453">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1.2.1 国际研究进展</w:t>
      </w:r>
    </w:p>
    <w:p w14:paraId="19A04540">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在国际研究层面，低轨卫星通信系统的EMC研究已经从单一的链路分析发展为系统级的仿真与评估。ITU-R等国际标准化组织制定了一系列技术标准和建议书，为基于空间概率统计的干扰分析方法提供了理论基础[4]。</w:t>
      </w:r>
    </w:p>
    <w:p w14:paraId="4EBB224D">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仿真平台建设方面，Visualyse、OPNET等专业仿真工具被广泛应用于卫星通信系统的EMC分析[5]。这些平台提供了完整的物理层到网络层仿真能力，支持大规模星座的建模与仿真。特别值得一提的是，丰田公司开发的集成SUMO、OS³和OMNEST的仿真框架，能够有效评估车联网场景下LEO卫星通信的端到端性能[6]。</w:t>
      </w:r>
    </w:p>
    <w:p w14:paraId="6BECC8C8">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1.2.2 国内研究现状</w:t>
      </w:r>
    </w:p>
    <w:p w14:paraId="1350E7BC">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国内研究机构在低轨卫星通信系统EMC领域取得了显著进展。在频谱共用研究方面，中国联通研究院系统分析了5G与低轨卫星系统的频谱共享特性，提出了基于空间隔离和功率控制的干扰规避方案[7]。华北电力大学基于Visualyse平台，对26GHz频段5G基站与卫星间业务的兼容性进行了仿真验证[8]。</w:t>
      </w:r>
    </w:p>
    <w:p w14:paraId="24C94937">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在仿真方法创新方面，吕俊璋等人对空间概率统计方法进行了重要改进，提出了考虑网格尺寸精度复杂度的评估方法，创新性地发展了联合低轨卫星概率密度分布的自适应隔离角技术[9]。</w:t>
      </w:r>
    </w:p>
    <w:p w14:paraId="78092CC7">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硬件平台建设方面，国内主机厂发挥了重要作用。吉利科技集团开发的高度集成化车载卫星通信系统[10]，集成了人机交互设备、基带处理模块与多频段卫星天线。重庆长安科技有限公司研发的可插拔式卫星通讯终端[11]采用圆极化全向天线设计，通过快速插拔接口实现车载与离场景的灵活使用。</w:t>
      </w:r>
    </w:p>
    <w:p w14:paraId="4F0F4BFD">
      <w:pPr>
        <w:spacing w:line="360" w:lineRule="auto"/>
        <w:rPr>
          <w:rFonts w:hint="eastAsia" w:ascii="Times New Roman" w:hAnsi="Times New Roman" w:eastAsia="宋体" w:cs="Times New Roman"/>
          <w:sz w:val="24"/>
        </w:rPr>
      </w:pPr>
      <w:r>
        <w:rPr>
          <w:rFonts w:hint="default" w:ascii="Times New Roman" w:hAnsi="Times New Roman" w:eastAsia="宋体" w:cs="Times New Roman"/>
          <w:sz w:val="24"/>
        </w:rPr>
        <w:t xml:space="preserve">2. </w:t>
      </w:r>
      <w:r>
        <w:rPr>
          <w:rFonts w:hint="eastAsia" w:ascii="Times New Roman" w:hAnsi="Times New Roman" w:eastAsia="宋体" w:cs="Times New Roman"/>
          <w:sz w:val="24"/>
          <w:lang w:val="en-US" w:eastAsia="zh-CN"/>
        </w:rPr>
        <w:t>技术</w:t>
      </w:r>
      <w:bookmarkStart w:id="0" w:name="_GoBack"/>
      <w:bookmarkEnd w:id="0"/>
      <w:r>
        <w:rPr>
          <w:rFonts w:hint="default" w:ascii="Times New Roman" w:hAnsi="Times New Roman" w:eastAsia="宋体" w:cs="Times New Roman"/>
          <w:sz w:val="24"/>
        </w:rPr>
        <w:t>研究方案</w:t>
      </w:r>
    </w:p>
    <w:p w14:paraId="398CAF76">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2.1 研究目标及研究内容</w:t>
      </w:r>
    </w:p>
    <w:p w14:paraId="5AE0D5C5">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本研究的总目标是构建一套完整的低轨卫星通信系统EMC仿真技术体系，具体包括以下研究内容：</w:t>
      </w:r>
    </w:p>
    <w:p w14:paraId="44736B2A">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2.1.1 高精度系统建模与仿真平台开发</w:t>
      </w:r>
    </w:p>
    <w:p w14:paraId="1B177573">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在系统建模方面，将建立包含卫星轨道动力学、多波束天线特性和星地链路传播特性的完整物理模型。基于改进的SGP4模型精确计算卫星轨道参数，采用高阶摄动理论考虑地球非球形引力、日月摄动、大气阻力等影响因素，轨道预测精度达到厘米级。在射频前端建模方面，建立包含功放AM-AM、AM-PM特性、相位噪声、滤波器群时延等参数的详细设备模型，准确模拟设备的非线性效应和记忆效应。在电波传播建模方面，采用基于3D射线追踪的混合方法。在城市环境中，采用精确的建筑物数据库和材料电磁参数，模拟多重反射、衍射和散射效应。针对大气传播效应，建立包含雨衰、大气吸收、对流层闪烁的综合衰减模型，特别关注Ka、Q/V等高频段的传播特性。在仿真平台开发方面，将基于STK和OMNeT++等工具构建协同仿真环境。采用云计算架构，支持分布式并行仿真。核心仿真引擎基于OMNeT++平台开发，集成INET框架中的先进网络协议模型。卫星轨道和姿态管理模块基于STK引擎，通过自定义接口实现与通信仿真的实时数据交互。平台支持多分辨率仿真，可根据仿真精度要求动态调整模型复杂度，在保证结果准确性的同时优化计算资源使用。</w:t>
      </w:r>
    </w:p>
    <w:p w14:paraId="70C8B270">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2.1.2 智能测试场景生成与优化系统</w:t>
      </w:r>
    </w:p>
    <w:p w14:paraId="65F530C8">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针对传统测试场景生成方法效率低、覆盖不全面的问题，本研究将开发基于多智能体强化学习和进化计算的智能测试场景生成系统。首先构建全面的干扰特征知识库，收录包括5G NR基站、微波中继系统、雷达设备、物联网设备等潜在干扰源的详细特征参数。知识库采用图数据库存储，支持复杂的关联查询和模式挖掘。在优化算法层面，采用多目标遗传算法（NSGA-III）进行测试场景的帕累托优化。算法同时优化多个目标函数：最大化系统性能劣化程度、最小化测试成本、最大化场景多样性。设计自适应的交叉和变异算子，根据种群进化状态动态调整算法参数。引入约束处理机制，确保生成的测试场景符合频谱管理法规和物理层约束条件。集成生成对抗网络（GAN）技术，设计专门的Wasserstein GAN架构。生成器学习真实电磁环境的统计分布特性，生成符合物理规律但未在训练集中出现的新颖干扰场景。判别器采用多尺度结构，从时域、频域和空域多个维度评估生成场景的真实性。通过对抗训练过程，不断优化生成场景的质量和多样性。</w:t>
      </w:r>
    </w:p>
    <w:p w14:paraId="22BA7BA4">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2.1.3 自适应干扰规避与智能决策系统</w:t>
      </w:r>
    </w:p>
    <w:p w14:paraId="1B5CFB83">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在干扰规避技术方面，将重点研究基于智能算法的自适应干扰规避策略。建立完整的干扰检测与识别机制，通过监测接收信号的特征参数，实时识别干扰类型和强度。采用卷积神经网络处理频谱数据，准确识别各种典型干扰源。开发多维度干扰规避算法。在频域方面，研究基于认知无线电的动态频谱接入技术，实现干扰环境下的智能频段选择。在空域方面，优化波束赋形算法，通过在干扰方向形成零陷来抑制干扰。在时域方面，研究基于时隙调度的干扰规避方法，避免与干扰源同时工作。特别地，将深入研究基于博弈论的分布式干扰协调机制。将不同系统间的频谱共享问题建模为非合作博弈，通过分布式算法实现纳什均衡，保证各系统的公平性和效率。这种方法特别适合处理多个独立运营系统间的频谱共享问题。</w:t>
      </w:r>
    </w:p>
    <w:p w14:paraId="07C7FA72">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2.2 拟解决的关键问题</w:t>
      </w:r>
    </w:p>
    <w:p w14:paraId="6C136DAB">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2.2.1 多尺度仿真模型融合问题</w:t>
      </w:r>
    </w:p>
    <w:p w14:paraId="3BBBC498">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低轨卫星通信系统的EMC仿真涉及从电磁波传播到网络协议的多个尺度，如何实现不同尺度模型的有效融合是一个重要挑战。在电磁传播层面，需要精确模拟自由空间损耗、大气吸收、多径效应等现象；在设备层面，需要考虑天线特性、放大器非线性、相位噪声等因素；在系统层面，还需要模拟复杂的网络协议行为和业务流量特性。为解决这一问题，本研究提出基于模型降阶的跨尺度建模方法。首先，采用本征正交分解（POD）方法对全波仿真结果进行降阶处理，提取关键特征模式。然后，建立参数化的代理模型，将详细的物理场仿真结果映射为高效的数学模型。最后，设计智能插值算法，实现不同尺度模型之间的无缝衔接和数据交换。针对天线-射频前端的协同仿真问题，开发基于阻抗边界条件的联合仿真方法。该方法能够准确模拟天线与放大器之间的阻抗失配效应，预测互调失真和频谱再生等非线性现象。通过实验测量验证仿真模型的准确性，建立模型误差的统计特性数据库，为仿真结果提供置信度评估。</w:t>
      </w:r>
    </w:p>
    <w:p w14:paraId="4DE9E827">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2.2.2 智能算法收敛性保障问题</w:t>
      </w:r>
    </w:p>
    <w:p w14:paraId="4B5F29EE">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遗传算法和深度学习算法在复杂EMC问题应用中面临着收敛性不确定和计算成本高的双重挑战。在高维参数空间中，算法容易陷入局部最优解，或者需要过多的函数评估才能找到满意解。同时，电磁仿真本身的计算成本很高，进一步加剧了计算负担。针对收敛性问题，提出基于贝叶斯优化的智能算法框架。该框架首先构建目标函数的概率代理模型，通过高斯过程描述函数值的统计特性。然后，采用获取函数指导采样点的选择，平衡探索和利用的关系。特别设计针对EMC问题的定制获取函数，优先搜索对系统性能影响最大的参数区域。在计算效率优化方面，实施多层次并行计算策略。在算法层面，采用异步并行进化计算，允许不同计算节点以不同速度进行评估。在仿真层面，开发基于GPU加速的电磁仿真内核，利用CUDA架构实现大规模并行计算。设计智能缓存机制，存储和重用历史仿真结果，减少重复计算。</w:t>
      </w:r>
    </w:p>
    <w:p w14:paraId="27741956">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2.2.3 仿真不确定性量化问题</w:t>
      </w:r>
    </w:p>
    <w:p w14:paraId="2727146E">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EMC仿真结果的不确定性主要来源于模型误差、参数不确定性和数值误差等多个方面。如何量化这些不确定性，并建立可靠的验证框架，是确保仿真结果可信度的关键问题。本研究提出基于概率图模型的不确定性传播分析方法。首先识别所有不确定性来源，包括材料参数误差、几何尺寸公差、数值离散误差等。然后建立不确定性传播的有向无环图，描述各误差源之间的因果关系。最后采用蒙特卡洛方法或多项式混沌展开方法，量化不确定性对最终仿真结果的影响。在验证框架构建方面，设计基于交叉验证的模型确认方法。将实验数据分为训练集和测试集，用训练集校准模型参数，用测试集评估模型预测能力。建立多指标验证体系，包括频率域误差、空间域误差和统计特性误差等多个维度的评估指标。开发自动化验证流水线，实现从数据采集到结果分析的全程自动化。</w:t>
      </w:r>
    </w:p>
    <w:p w14:paraId="30E1B497">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2.3 拟采用的研究方案</w:t>
      </w:r>
    </w:p>
    <w:p w14:paraId="6834789B">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2.3.1 系统架构设计</w:t>
      </w:r>
    </w:p>
    <w:p w14:paraId="74E760EF">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本研究将采用分层递进式的系统架构设计，整个仿真平台由基础设施层、数据层、模型层、算法层和应用层五个层次构成。基础设施层提供计算资源、存储资源和网络资源支持，采用容器化部署方式，保证系统的可扩展性和可靠性。数据层采用数据湖架构，集中管理各种类型的仿真数据。包括卫星轨道数据、设备参数数据、环境特征数据、仿真结果数据等。设计统一的数据模式和接口规范，支持多源异构数据的集成和融合。实施数据质量管控机制，确保数据的准确性和一致性。模型层包含丰富的模型库，支持从器件级到系统级的全链路建模。采用模型组合技术，允许用户通过图形化界面拖拽组件，快速构建复杂的仿真场景。提供模型版本管理功能，支持模型的迭代优化和追溯。</w:t>
      </w:r>
    </w:p>
    <w:p w14:paraId="40087A06">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2.3.2 数字孪生技术应用</w:t>
      </w:r>
    </w:p>
    <w:p w14:paraId="33FA1151">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创新性地引入数字孪生技术，构建物理系统与虚拟模型的深度融合仿真环境。通过高精度传感器网络实时采集物理系统的运行数据，包括信号质量指标、环境参数、设备状态等。建立物理系统与数字模型的双向映射关系，实现状态同步和数据交换。在仿真过程中，采用实时数据同化技术，将观测数据不断融入仿真模型，修正模型参数和状态估计。设计基于卡尔曼滤波的同化算法，处理观测数据中的噪声和不确定性。通过这种虚实融合的方式，显著提高仿真结果的准确性和可靠性。特别地，开发基于区块链的仿真数据存证系统。所有仿真输入参数、运行过程和输出结果都生成数字指纹并上链存储，确保仿真过程的可追溯性和结果的可信度。这为仿真结果的技术评审和合规认证提供了可靠支撑。</w:t>
      </w:r>
    </w:p>
    <w:p w14:paraId="348B0F50">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2.3.3 智能化仿真流程管理</w:t>
      </w:r>
    </w:p>
    <w:p w14:paraId="134EF0CA">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针对复杂仿真流程的管理需求，开发基于工作流引擎的仿真任务调度系统。系统支持可视化流程设计，用户可以通过拖拽方式定义仿真流程，包括参数设置、模型选择、算法配置、结果分析等各个环节。提供流程模板库，包含各种典型仿真场景的预定义流程。在仿真运行过程中，实施基于强化学习的资源动态调度策略。系统实时监控计算资源的使用情况，根据任务优先级和资源需求，动态调整任务调度顺序。设计容错机制，当某个仿真任务失败时，能够自动分析失败原因并采取恢复措施。在结果分析环节，集成多种智能数据分析工具。包括基于机器学习的结果异常检测、基于自然语言处理的仿真报告自动生成、基于数据可视化的结果交互探索等功能。这些工具大大提高了结果分析的效率和深度，帮助用户从海量仿真数据中提取有价值的信息。</w:t>
      </w:r>
    </w:p>
    <w:p w14:paraId="124EBC4E">
      <w:pPr>
        <w:spacing w:line="360" w:lineRule="auto"/>
        <w:rPr>
          <w:rFonts w:hint="eastAsia" w:ascii="Times New Roman" w:hAnsi="Times New Roman" w:eastAsia="宋体" w:cs="Times New Roman"/>
          <w:sz w:val="24"/>
        </w:rPr>
      </w:pPr>
      <w:r>
        <w:rPr>
          <w:rFonts w:hint="eastAsia" w:ascii="Times New Roman" w:hAnsi="Times New Roman" w:eastAsia="宋体" w:cs="Times New Roman"/>
          <w:sz w:val="24"/>
        </w:rPr>
        <w:t>3. 预期达到的目标</w:t>
      </w:r>
    </w:p>
    <w:p w14:paraId="3DF90DA5">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3.1 技术创新目标</w:t>
      </w:r>
    </w:p>
    <w:p w14:paraId="406DEAA2">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研究计划在以下几个方面实现技术创新：首先，在仿真方法学上，预计将提出一种融合确定性仿真和概率统计的新型混合仿真框架。该框架能够根据仿真精度的要求，动态调整仿真策略，在保证结果可靠性的前提下最大限度地提高仿真效率。</w:t>
      </w:r>
    </w:p>
    <w:p w14:paraId="2FEE0FC2">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次，在智能算法应用方面，将开发针对EMC仿真特点优化的遗传算法和生成对抗网络。这些算法能够有效处理高维参数空间中的优化问题，预计可以生成比传统方法多30%的有效测试场景，显著提高测试的覆盖率和效率。</w:t>
      </w:r>
    </w:p>
    <w:p w14:paraId="5F52EAD9">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3.2 系统建设目标</w:t>
      </w:r>
    </w:p>
    <w:p w14:paraId="64BFAE1D">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系统建设方面，计划开发一个完整的低轨卫星通信系统EMC仿真平台。该平台将具有以下特点：支持从器件级到系统级的全链路仿真，最大可支持1000颗卫星的大型星座仿真。提供友好的图形用户界面，支持仿真场景的可视化设计和结果分析。</w:t>
      </w:r>
    </w:p>
    <w:p w14:paraId="36611C95">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平台将采用云计算架构，支持分布式并行仿真。预计单次仿真任务可以在8小时内完成，满足工程设计的时效性要求。同时，平台将提供完善的文档和培训材料，降低用户的学习成本。</w:t>
      </w:r>
    </w:p>
    <w:p w14:paraId="09B945B1">
      <w:pPr>
        <w:spacing w:line="360" w:lineRule="auto"/>
        <w:ind w:firstLine="480" w:firstLineChars="200"/>
        <w:rPr>
          <w:rFonts w:hint="eastAsia" w:ascii="Times New Roman" w:hAnsi="Times New Roman" w:eastAsia="宋体" w:cs="Times New Roman"/>
          <w:sz w:val="24"/>
        </w:rPr>
      </w:pPr>
    </w:p>
    <w:p w14:paraId="52C69C07">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4. 主要参考文献</w:t>
      </w:r>
    </w:p>
    <w:p w14:paraId="2D45BDDC">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学术论文</w:t>
      </w:r>
    </w:p>
    <w:p w14:paraId="07FDDBC6">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 Mordachev, V., et al. "Characteristics of Electromagnetic Environment Created by Communication Low Earth Orbit Satellite Systems Near the Earth's Surface." EMC Europe 2024.</w:t>
      </w:r>
    </w:p>
    <w:p w14:paraId="74BE024D">
      <w:pPr>
        <w:spacing w:line="360" w:lineRule="auto"/>
        <w:ind w:firstLine="480" w:firstLineChars="200"/>
        <w:rPr>
          <w:rFonts w:hint="eastAsia" w:ascii="Times New Roman" w:hAnsi="Times New Roman" w:eastAsia="宋体" w:cs="Times New Roman"/>
          <w:sz w:val="24"/>
        </w:rPr>
      </w:pPr>
    </w:p>
    <w:p w14:paraId="7007B63D">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[2] Ma, J., et al. "LEO Satellite Communication Simulation Framework for Connected Vehicles." IEEE GLOBECOM 2023.</w:t>
      </w:r>
    </w:p>
    <w:p w14:paraId="4EBFF61C">
      <w:pPr>
        <w:spacing w:line="360" w:lineRule="auto"/>
        <w:ind w:firstLine="480" w:firstLineChars="200"/>
        <w:rPr>
          <w:rFonts w:hint="eastAsia" w:ascii="Times New Roman" w:hAnsi="Times New Roman" w:eastAsia="宋体" w:cs="Times New Roman"/>
          <w:sz w:val="24"/>
        </w:rPr>
      </w:pPr>
    </w:p>
    <w:p w14:paraId="15318520">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[3] Kim, M., et al. "Problem and Solution for NB-IoT Uplink in Low Earth Orbit Satellite Communication." 2023.</w:t>
      </w:r>
    </w:p>
    <w:p w14:paraId="068ECE07">
      <w:pPr>
        <w:spacing w:line="360" w:lineRule="auto"/>
        <w:ind w:firstLine="480" w:firstLineChars="200"/>
        <w:rPr>
          <w:rFonts w:hint="eastAsia" w:ascii="Times New Roman" w:hAnsi="Times New Roman" w:eastAsia="宋体" w:cs="Times New Roman"/>
          <w:sz w:val="24"/>
        </w:rPr>
      </w:pPr>
    </w:p>
    <w:p w14:paraId="52BFBCA5">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[4] 牛德堂等. "面向5G与低轨卫星网络融合的频谱共用研究." 5G网络创新研讨会, 2022.</w:t>
      </w:r>
    </w:p>
    <w:p w14:paraId="1B3451D1">
      <w:pPr>
        <w:spacing w:line="360" w:lineRule="auto"/>
        <w:ind w:firstLine="480" w:firstLineChars="200"/>
        <w:rPr>
          <w:rFonts w:hint="eastAsia" w:ascii="Times New Roman" w:hAnsi="Times New Roman" w:eastAsia="宋体" w:cs="Times New Roman"/>
          <w:sz w:val="24"/>
        </w:rPr>
      </w:pPr>
    </w:p>
    <w:p w14:paraId="27EE1B13">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[5] 邓子龙等. "基于Visualyse的5G基站与卫星间业务电磁兼容仿真分析." 中国无线电, 2018.</w:t>
      </w:r>
    </w:p>
    <w:p w14:paraId="44E7ABF2">
      <w:pPr>
        <w:spacing w:line="360" w:lineRule="auto"/>
        <w:ind w:firstLine="480" w:firstLineChars="200"/>
        <w:rPr>
          <w:rFonts w:hint="eastAsia" w:ascii="Times New Roman" w:hAnsi="Times New Roman" w:eastAsia="宋体" w:cs="Times New Roman"/>
          <w:sz w:val="24"/>
        </w:rPr>
      </w:pPr>
    </w:p>
    <w:p w14:paraId="4705C7DB">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[6] 吕俊璋. "面向低轨卫星星座系统的电磁兼容分析与研究." 北京邮电大学, 2023.</w:t>
      </w:r>
    </w:p>
    <w:p w14:paraId="5D126318">
      <w:pPr>
        <w:spacing w:line="360" w:lineRule="auto"/>
        <w:ind w:firstLine="480" w:firstLineChars="200"/>
        <w:rPr>
          <w:rFonts w:hint="eastAsia" w:ascii="Times New Roman" w:hAnsi="Times New Roman" w:eastAsia="宋体" w:cs="Times New Roman"/>
          <w:sz w:val="24"/>
        </w:rPr>
      </w:pPr>
    </w:p>
    <w:p w14:paraId="3040B215">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专利文献</w:t>
      </w:r>
    </w:p>
    <w:p w14:paraId="3003E18A">
      <w:pPr>
        <w:spacing w:line="360" w:lineRule="auto"/>
        <w:ind w:firstLine="480" w:firstLineChars="200"/>
        <w:rPr>
          <w:rFonts w:hint="eastAsia" w:ascii="Times New Roman" w:hAnsi="Times New Roman" w:eastAsia="宋体" w:cs="Times New Roman"/>
          <w:sz w:val="24"/>
        </w:rPr>
      </w:pPr>
    </w:p>
    <w:p w14:paraId="38FC3744">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[7] 王星等. "车载卫星通信系统及车辆." 中国专利 CN114204973B, 2025.</w:t>
      </w:r>
    </w:p>
    <w:p w14:paraId="731101F8">
      <w:pPr>
        <w:spacing w:line="360" w:lineRule="auto"/>
        <w:ind w:firstLine="480" w:firstLineChars="200"/>
        <w:rPr>
          <w:rFonts w:hint="eastAsia" w:ascii="Times New Roman" w:hAnsi="Times New Roman" w:eastAsia="宋体" w:cs="Times New Roman"/>
          <w:sz w:val="24"/>
        </w:rPr>
      </w:pPr>
    </w:p>
    <w:p w14:paraId="6ED10E8B">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[8] 江涛等. "卫星通讯终端及车辆." 中国实用新型专利 CN222423889U, 2025.</w:t>
      </w:r>
    </w:p>
    <w:p w14:paraId="6931321C">
      <w:pPr>
        <w:spacing w:line="360" w:lineRule="auto"/>
        <w:ind w:firstLine="480" w:firstLineChars="200"/>
        <w:rPr>
          <w:rFonts w:hint="eastAsia" w:ascii="Times New Roman" w:hAnsi="Times New Roman" w:eastAsia="宋体" w:cs="Times New Roman"/>
          <w:sz w:val="24"/>
        </w:rPr>
      </w:pPr>
    </w:p>
    <w:p w14:paraId="118D59E7">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[9] 发明人等. "卫星通信方法." 中国专利 CN120128249A/B, 2024.</w:t>
      </w:r>
    </w:p>
    <w:p w14:paraId="2DCD8587">
      <w:pPr>
        <w:spacing w:line="360" w:lineRule="auto"/>
        <w:ind w:firstLine="480" w:firstLineChars="200"/>
        <w:rPr>
          <w:rFonts w:hint="eastAsia" w:ascii="Times New Roman" w:hAnsi="Times New Roman" w:eastAsia="宋体" w:cs="Times New Roman"/>
          <w:sz w:val="24"/>
        </w:rPr>
      </w:pPr>
    </w:p>
    <w:p w14:paraId="72EE452C">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[10] 发明人等. "车辆卫星定位的控制方法." 中国专利 CN119012116A, 2024.</w:t>
      </w:r>
    </w:p>
    <w:p w14:paraId="3DF3D70E">
      <w:pPr>
        <w:spacing w:line="360" w:lineRule="auto"/>
        <w:ind w:firstLine="480" w:firstLineChars="200"/>
        <w:rPr>
          <w:rFonts w:hint="eastAsia" w:ascii="Times New Roman" w:hAnsi="Times New Roman" w:eastAsia="宋体" w:cs="Times New Roman"/>
          <w:sz w:val="24"/>
        </w:rPr>
      </w:pPr>
    </w:p>
    <w:p w14:paraId="3C183FC5">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[11] 发明人等. "基于低轨卫星的车载通信方法、系统及车载控制设备." 中国专利 CN120034228A, 2024.</w:t>
      </w:r>
    </w:p>
    <w:p w14:paraId="726D7904">
      <w:pPr>
        <w:spacing w:line="360" w:lineRule="auto"/>
        <w:ind w:firstLine="480" w:firstLineChars="200"/>
        <w:rPr>
          <w:rFonts w:hint="eastAsia" w:ascii="Times New Roman" w:hAnsi="Times New Roman" w:eastAsia="宋体" w:cs="Times New Roman"/>
          <w:sz w:val="24"/>
        </w:rPr>
      </w:pPr>
    </w:p>
    <w:p w14:paraId="3A96EAE5">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[12] 发明人等. "车辆卫星定位的控制方法、装置、设备、存储介质及产品." 中国专利 CN119012116A, 2024.</w:t>
      </w:r>
    </w:p>
    <w:p w14:paraId="7A304340">
      <w:pPr>
        <w:spacing w:line="360" w:lineRule="auto"/>
        <w:ind w:firstLine="480" w:firstLineChars="200"/>
        <w:rPr>
          <w:rFonts w:hint="eastAsia" w:ascii="Times New Roman" w:hAnsi="Times New Roman" w:eastAsia="宋体" w:cs="Times New Roman"/>
          <w:sz w:val="24"/>
        </w:rPr>
      </w:pPr>
    </w:p>
    <w:p w14:paraId="29283B64">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[13] 发明人等. "基于卫星通信的车联网数据压缩方法、装置、设备和介质." 中国专利 CN120343520A, 2024.</w:t>
      </w:r>
    </w:p>
    <w:p w14:paraId="50CD6B4A">
      <w:pPr>
        <w:spacing w:line="360" w:lineRule="auto"/>
        <w:ind w:firstLine="480" w:firstLineChars="200"/>
        <w:rPr>
          <w:rFonts w:hint="eastAsia" w:ascii="Times New Roman" w:hAnsi="Times New Roman" w:eastAsia="宋体" w:cs="Times New Roman"/>
          <w:sz w:val="24"/>
        </w:rPr>
      </w:pPr>
    </w:p>
    <w:p w14:paraId="5F7AFEBD">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[14] 发明人等. "车辆通信方法." 中国专利 CN118748786A, 2024.</w:t>
      </w:r>
    </w:p>
    <w:p w14:paraId="78F81BD6">
      <w:pPr>
        <w:spacing w:line="360" w:lineRule="auto"/>
        <w:ind w:firstLine="480" w:firstLineChars="200"/>
        <w:rPr>
          <w:rFonts w:hint="eastAsia" w:ascii="Times New Roman" w:hAnsi="Times New Roman" w:eastAsia="宋体" w:cs="Times New Roman"/>
          <w:sz w:val="24"/>
        </w:rPr>
      </w:pPr>
    </w:p>
    <w:p w14:paraId="05601466">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[15] 发明人等. "车辆卫星通讯方法." 中国专利 CN115118328B, 2024.</w:t>
      </w:r>
    </w:p>
    <w:p w14:paraId="51C8D7EC">
      <w:pPr>
        <w:spacing w:line="360" w:lineRule="auto"/>
        <w:ind w:firstLine="480" w:firstLineChars="200"/>
        <w:rPr>
          <w:rFonts w:hint="eastAsia" w:ascii="Times New Roman" w:hAnsi="Times New Roman" w:eastAsia="宋体" w:cs="Times New Roman"/>
          <w:sz w:val="24"/>
        </w:rPr>
      </w:pPr>
    </w:p>
    <w:p w14:paraId="43C733B1">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[16] 发明人等. "基于卫星的通信方法." 中国专利 CN118199709A, 2024.</w:t>
      </w:r>
    </w:p>
    <w:p w14:paraId="2B1D9CAC">
      <w:pPr>
        <w:spacing w:line="360" w:lineRule="auto"/>
        <w:ind w:firstLine="480" w:firstLineChars="200"/>
        <w:rPr>
          <w:rFonts w:hint="eastAsia" w:ascii="Times New Roman" w:hAnsi="Times New Roman" w:eastAsia="宋体" w:cs="Times New Roman"/>
          <w:sz w:val="24"/>
        </w:rPr>
      </w:pPr>
    </w:p>
    <w:p w14:paraId="60520AEB">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[17] 发明人等. "行驶行为的确定方法." 中国专利 CN111055844A/B, 2024.</w:t>
      </w:r>
    </w:p>
    <w:p w14:paraId="7BC40F3D">
      <w:pPr>
        <w:spacing w:line="360" w:lineRule="auto"/>
        <w:ind w:firstLine="480" w:firstLineChars="200"/>
        <w:rPr>
          <w:rFonts w:hint="eastAsia" w:ascii="Times New Roman" w:hAnsi="Times New Roman" w:eastAsia="宋体" w:cs="Times New Roman"/>
          <w:sz w:val="24"/>
        </w:rPr>
      </w:pPr>
    </w:p>
    <w:p w14:paraId="4C5720EF">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[18] 发明人等. "车载卫星通信方法." 中国专利 CN119363205A, 2024.</w:t>
      </w:r>
    </w:p>
    <w:p w14:paraId="3CB7192E">
      <w:pPr>
        <w:spacing w:line="360" w:lineRule="auto"/>
        <w:ind w:firstLine="480" w:firstLineChars="200"/>
        <w:rPr>
          <w:rFonts w:hint="eastAsia" w:ascii="Times New Roman" w:hAnsi="Times New Roman" w:eastAsia="宋体" w:cs="Times New Roman"/>
          <w:sz w:val="24"/>
        </w:rPr>
      </w:pPr>
    </w:p>
    <w:p w14:paraId="49F59C0A">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[19] 发明人等. "车载卫星通信系统收发能力下线检测方法." 中国专利 CN120110497A, 2024.</w:t>
      </w:r>
    </w:p>
    <w:p w14:paraId="2799C0C1">
      <w:pPr>
        <w:spacing w:line="360" w:lineRule="auto"/>
        <w:ind w:firstLine="480" w:firstLineChars="200"/>
        <w:rPr>
          <w:rFonts w:hint="eastAsia" w:ascii="Times New Roman" w:hAnsi="Times New Roman" w:eastAsia="宋体" w:cs="Times New Roman"/>
          <w:sz w:val="24"/>
        </w:rPr>
      </w:pPr>
    </w:p>
    <w:p w14:paraId="44F251B8">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技术标准</w:t>
      </w:r>
    </w:p>
    <w:p w14:paraId="0C8D5A10">
      <w:pPr>
        <w:spacing w:line="360" w:lineRule="auto"/>
        <w:ind w:firstLine="480" w:firstLineChars="200"/>
        <w:rPr>
          <w:rFonts w:hint="eastAsia" w:ascii="Times New Roman" w:hAnsi="Times New Roman" w:eastAsia="宋体" w:cs="Times New Roman"/>
          <w:sz w:val="24"/>
        </w:rPr>
      </w:pPr>
    </w:p>
    <w:p w14:paraId="553FEB7B">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[20] ITU-R S.1529. "Analytical method for determining the statistics of interference between non-GSO FSS systems." 2019.</w:t>
      </w:r>
    </w:p>
    <w:p w14:paraId="4DC91E2E">
      <w:pPr>
        <w:spacing w:line="360" w:lineRule="auto"/>
        <w:ind w:firstLine="480" w:firstLineChars="200"/>
        <w:rPr>
          <w:rFonts w:hint="eastAsia" w:ascii="Times New Roman" w:hAnsi="Times New Roman" w:eastAsia="宋体" w:cs="Times New Roman"/>
          <w:sz w:val="24"/>
        </w:rPr>
      </w:pPr>
    </w:p>
    <w:p w14:paraId="1B577D2C">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[21] 3GPP TR 38.811. "Study on New Radio (NR) to support non-terrestrial networks." 2020.</w:t>
      </w:r>
    </w:p>
    <w:p w14:paraId="34C448FC">
      <w:pPr>
        <w:spacing w:line="360" w:lineRule="auto"/>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请基于上述文本内容和我给出的文档，将我给出的文档中的涉及的无人机部分改为低轨卫星通信系统相关进行内容添加，重新给出文章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F65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2025-11-17T14:28:05Z</dcterms:created>
  <dc:creator>52834</dc:creator>
  <cp:lastModifiedBy>morty</cp:lastModifiedBy>
  <dcterms:modified xsi:type="dcterms:W3CDTF">2025-11-17T14:34:44Z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TemplateDocerSaveRecord">
    <vt:lpwstr>eyJoZGlkIjoiOTA2YTRlY2JlZWM2OTNlNjc4YzQ3Njc0MzAwMDYwMTMiLCJ1c2VySWQiOiI2NTYzNjI1NzQifQ==</vt:lpwstr>
  </property>
  <property fmtid="{D5CDD505-2E9C-101B-9397-08002B2CF9AE}" pid="4" name="ICV">
    <vt:lpwstr>6C23AB190624429CACBB73B9AE52B594_12</vt:lpwstr>
  </property>
</Properties>
</file>