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812AF">
      <w:pPr>
        <w:ind w:left="600" w:hanging="527" w:hangingChars="250"/>
        <w:rPr>
          <w:rFonts w:ascii="微软雅黑" w:hAnsi="微软雅黑" w:eastAsia="微软雅黑"/>
        </w:rPr>
      </w:pPr>
      <w:r>
        <w:rPr>
          <w:rFonts w:hint="eastAsia" w:ascii="Noto Serif CJK SC" w:hAnsi="Noto Serif CJK SC" w:eastAsia="Noto Serif CJK SC"/>
          <w:b/>
          <w:sz w:val="21"/>
        </w:rPr>
        <w:t>注</w:t>
      </w:r>
      <w:r>
        <w:rPr>
          <w:rFonts w:hint="default" w:ascii="Noto Serif CJK SC" w:hAnsi="Noto Serif CJK SC" w:eastAsia="Noto Serif CJK SC"/>
          <w:b/>
          <w:sz w:val="21"/>
          <w:woUserID w:val="1"/>
        </w:rPr>
        <w:t>1</w:t>
      </w:r>
      <w:r>
        <w:rPr>
          <w:rFonts w:hint="eastAsia" w:ascii="Noto Serif CJK SC" w:hAnsi="Noto Serif CJK SC" w:eastAsia="Noto Serif CJK SC"/>
          <w:b/>
          <w:sz w:val="21"/>
        </w:rPr>
        <w:t>：</w:t>
      </w:r>
      <w:r>
        <w:rPr>
          <w:rFonts w:hint="eastAsia" w:ascii="Noto Serif CJK SC" w:hAnsi="Noto Serif CJK SC" w:eastAsia="Noto Serif CJK SC"/>
          <w:sz w:val="21"/>
        </w:rPr>
        <w:t>交底文件应包括</w:t>
      </w:r>
      <w:r>
        <w:rPr>
          <w:rFonts w:hint="eastAsia" w:ascii="Noto Serif CJK SC" w:hAnsi="Noto Serif CJK SC" w:eastAsia="Noto Serif CJK SC"/>
          <w:b/>
          <w:sz w:val="21"/>
          <w:highlight w:val="yellow"/>
        </w:rPr>
        <w:t>《专利交底书》</w:t>
      </w:r>
      <w:r>
        <w:rPr>
          <w:rFonts w:hint="eastAsia" w:ascii="Noto Serif CJK SC" w:hAnsi="Noto Serif CJK SC" w:eastAsia="Noto Serif CJK SC"/>
          <w:sz w:val="21"/>
        </w:rPr>
        <w:t>（Word文件）、</w:t>
      </w:r>
      <w:r>
        <w:rPr>
          <w:rFonts w:hint="eastAsia" w:ascii="Noto Serif CJK SC" w:hAnsi="Noto Serif CJK SC" w:eastAsia="Noto Serif CJK SC"/>
          <w:b/>
          <w:sz w:val="21"/>
          <w:highlight w:val="yellow"/>
        </w:rPr>
        <w:t>《专利基础信息统计表》</w:t>
      </w:r>
      <w:r>
        <w:rPr>
          <w:rFonts w:hint="eastAsia" w:ascii="Noto Serif CJK SC" w:hAnsi="Noto Serif CJK SC" w:eastAsia="Noto Serif CJK SC"/>
          <w:sz w:val="21"/>
        </w:rPr>
        <w:t>（Excel文件）及可编辑的</w:t>
      </w:r>
      <w:r>
        <w:rPr>
          <w:rFonts w:hint="eastAsia" w:ascii="Noto Serif CJK SC" w:hAnsi="Noto Serif CJK SC" w:eastAsia="Noto Serif CJK SC"/>
          <w:b/>
          <w:sz w:val="21"/>
          <w:highlight w:val="yellow"/>
        </w:rPr>
        <w:t>附图（表）原文件</w:t>
      </w:r>
      <w:r>
        <w:rPr>
          <w:rFonts w:hint="eastAsia" w:ascii="Noto Serif CJK SC" w:hAnsi="Noto Serif CJK SC" w:eastAsia="Noto Serif CJK SC"/>
          <w:sz w:val="21"/>
        </w:rPr>
        <w:t>，发明人发起专利申请流程时需一并提报。</w:t>
      </w:r>
    </w:p>
    <w:p w14:paraId="7ED371CE">
      <w:pPr>
        <w:ind w:left="600" w:hanging="527" w:hangingChars="250"/>
        <w:rPr>
          <w:rFonts w:ascii="微软雅黑" w:hAnsi="微软雅黑" w:eastAsia="微软雅黑"/>
        </w:rPr>
      </w:pPr>
      <w:r>
        <w:rPr>
          <w:rFonts w:hint="eastAsia" w:ascii="Noto Serif CJK SC" w:hAnsi="Noto Serif CJK SC" w:eastAsia="Noto Serif CJK SC"/>
          <w:b/>
          <w:sz w:val="21"/>
        </w:rPr>
        <w:t>注</w:t>
      </w:r>
      <w:r>
        <w:rPr>
          <w:rFonts w:hint="default" w:ascii="Noto Serif CJK SC" w:hAnsi="Noto Serif CJK SC" w:eastAsia="Noto Serif CJK SC"/>
          <w:b/>
          <w:sz w:val="21"/>
          <w:woUserID w:val="1"/>
        </w:rPr>
        <w:t>2</w:t>
      </w:r>
      <w:r>
        <w:rPr>
          <w:rFonts w:hint="eastAsia" w:ascii="Noto Serif CJK SC" w:hAnsi="Noto Serif CJK SC" w:eastAsia="Noto Serif CJK SC"/>
          <w:b/>
          <w:sz w:val="21"/>
        </w:rPr>
        <w:t>：</w:t>
      </w:r>
      <w:r>
        <w:rPr>
          <w:rFonts w:hint="eastAsia" w:ascii="Noto Serif CJK SC" w:hAnsi="Noto Serif CJK SC" w:eastAsia="Noto Serif CJK SC"/>
          <w:sz w:val="21"/>
        </w:rPr>
        <w:t>专利文件命名规则：</w:t>
      </w:r>
    </w:p>
    <w:p w14:paraId="406DE7C8">
      <w:pPr>
        <w:pStyle w:val="23"/>
        <w:numPr>
          <w:ilvl w:val="0"/>
          <w:numId w:val="1"/>
        </w:numPr>
        <w:ind w:firstLineChars="0"/>
        <w:rPr>
          <w:rFonts w:ascii="微软雅黑" w:hAnsi="微软雅黑" w:eastAsia="微软雅黑"/>
        </w:rPr>
      </w:pPr>
      <w:r>
        <w:rPr>
          <w:rFonts w:hint="eastAsia" w:ascii="Noto Serif CJK SC" w:hAnsi="Noto Serif CJK SC" w:eastAsia="Noto Serif CJK SC"/>
          <w:sz w:val="21"/>
        </w:rPr>
        <w:t>交底书命名规则：</w:t>
      </w:r>
      <w:r>
        <w:rPr>
          <w:rFonts w:hint="eastAsia" w:ascii="Noto Serif CJK SC" w:hAnsi="Noto Serif CJK SC" w:eastAsia="Noto Serif CJK SC"/>
          <w:color w:val="000000" w:themeColor="text1"/>
          <w:sz w:val="21"/>
          <w14:textFill>
            <w14:solidFill>
              <w14:schemeClr w14:val="tx1"/>
            </w14:solidFill>
          </w14:textFill>
        </w:rPr>
        <w:t>“</w:t>
      </w:r>
      <w:r>
        <w:rPr>
          <w:rFonts w:hint="eastAsia" w:ascii="Noto Serif CJK SC" w:hAnsi="Noto Serif CJK SC" w:eastAsia="Noto Serif CJK SC"/>
          <w:b/>
          <w:color w:val="000000" w:themeColor="text1"/>
          <w:sz w:val="21"/>
          <w14:textFill>
            <w14:solidFill>
              <w14:schemeClr w14:val="tx1"/>
            </w14:solidFill>
          </w14:textFill>
        </w:rPr>
        <w:t>日期”+“交底书”+“_”+发明创造/外观设计名称</w:t>
      </w:r>
      <w:r>
        <w:rPr>
          <w:rFonts w:hint="eastAsia" w:ascii="Noto Serif CJK SC" w:hAnsi="Noto Serif CJK SC" w:eastAsia="Noto Serif CJK SC"/>
          <w:color w:val="000000" w:themeColor="text1"/>
          <w:sz w:val="21"/>
          <w14:textFill>
            <w14:solidFill>
              <w14:schemeClr w14:val="tx1"/>
            </w14:solidFill>
          </w14:textFill>
        </w:rPr>
        <w:t>”</w:t>
      </w:r>
      <w:r>
        <w:rPr>
          <w:rFonts w:hint="eastAsia" w:ascii="Noto Serif CJK SC" w:hAnsi="Noto Serif CJK SC" w:eastAsia="Noto Serif CJK SC"/>
          <w:sz w:val="21"/>
        </w:rPr>
        <w:t>，例如“</w:t>
      </w:r>
      <w:r>
        <w:rPr>
          <w:rFonts w:hint="eastAsia" w:ascii="Noto Serif CJK SC" w:hAnsi="Noto Serif CJK SC" w:eastAsia="Noto Serif CJK SC"/>
          <w:b/>
          <w:sz w:val="21"/>
        </w:rPr>
        <w:t>2</w:t>
      </w:r>
      <w:r>
        <w:rPr>
          <w:rFonts w:ascii="Noto Serif CJK SC" w:hAnsi="Noto Serif CJK SC" w:eastAsia="Noto Serif CJK SC"/>
          <w:b/>
          <w:sz w:val="21"/>
        </w:rPr>
        <w:t>0220720_</w:t>
      </w:r>
      <w:r>
        <w:rPr>
          <w:rFonts w:hint="eastAsia" w:ascii="Noto Serif CJK SC" w:hAnsi="Noto Serif CJK SC" w:eastAsia="Noto Serif CJK SC"/>
          <w:b/>
          <w:sz w:val="21"/>
        </w:rPr>
        <w:t>交底书_一种多功能高压信号采集方法</w:t>
      </w:r>
      <w:r>
        <w:rPr>
          <w:rFonts w:hint="eastAsia" w:ascii="Noto Serif CJK SC" w:hAnsi="Noto Serif CJK SC" w:eastAsia="Noto Serif CJK SC"/>
          <w:sz w:val="21"/>
        </w:rPr>
        <w:t>”；</w:t>
      </w:r>
    </w:p>
    <w:p w14:paraId="408162B4">
      <w:pPr>
        <w:pStyle w:val="23"/>
        <w:numPr>
          <w:ilvl w:val="0"/>
          <w:numId w:val="1"/>
        </w:numPr>
        <w:ind w:firstLineChars="0"/>
        <w:rPr>
          <w:rFonts w:ascii="微软雅黑" w:hAnsi="微软雅黑" w:eastAsia="微软雅黑"/>
        </w:rPr>
      </w:pPr>
      <w:r>
        <w:rPr>
          <w:rFonts w:hint="eastAsia" w:ascii="Noto Serif CJK SC" w:hAnsi="Noto Serif CJK SC" w:eastAsia="Noto Serif CJK SC"/>
          <w:sz w:val="21"/>
        </w:rPr>
        <w:t>附图（表）结合交底书中的附图编号进行命名，以不产生误导及歧义为准；</w:t>
      </w:r>
    </w:p>
    <w:p w14:paraId="18ED88C4">
      <w:pPr>
        <w:spacing w:after="312" w:afterLines="100"/>
        <w:rPr>
          <w:rFonts w:ascii="微软雅黑" w:hAnsi="微软雅黑" w:eastAsia="微软雅黑"/>
        </w:rPr>
      </w:pPr>
      <w:r>
        <w:rPr>
          <w:rFonts w:hint="eastAsia" w:ascii="Noto Serif CJK SC" w:hAnsi="Noto Serif CJK SC" w:eastAsia="Noto Serif CJK SC"/>
          <w:sz w:val="21"/>
        </w:rPr>
        <w:t>注</w:t>
      </w:r>
      <w:r>
        <w:rPr>
          <w:rFonts w:hint="default" w:ascii="Noto Serif CJK SC" w:hAnsi="Noto Serif CJK SC" w:eastAsia="Noto Serif CJK SC"/>
          <w:sz w:val="21"/>
          <w:woUserID w:val="1"/>
        </w:rPr>
        <w:t>3</w:t>
      </w:r>
      <w:r>
        <w:rPr>
          <w:rFonts w:hint="eastAsia" w:ascii="Noto Serif CJK SC" w:hAnsi="Noto Serif CJK SC" w:eastAsia="Noto Serif CJK SC"/>
          <w:sz w:val="21"/>
        </w:rPr>
        <w:t>：发明人在可编辑区域内完善交底书。</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3"/>
        <w:gridCol w:w="7369"/>
      </w:tblGrid>
      <w:tr w14:paraId="5E900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645" w:type="pct"/>
          </w:tcPr>
          <w:p w14:paraId="776438AD">
            <w:pPr>
              <w:widowControl/>
              <w:spacing w:after="0" w:line="300" w:lineRule="auto"/>
              <w:jc w:val="left"/>
              <w:rPr>
                <w:rFonts w:hint="eastAsia" w:ascii="微软雅黑" w:hAnsi="微软雅黑" w:eastAsia="微软雅黑" w:cs="宋体"/>
                <w:b/>
                <w:kern w:val="0"/>
                <w:sz w:val="21"/>
              </w:rPr>
            </w:pPr>
            <w:r>
              <w:rPr>
                <w:rFonts w:hint="eastAsia" w:ascii="Noto Serif CJK SC" w:hAnsi="Noto Serif CJK SC" w:eastAsia="Noto Serif CJK SC" w:cs="宋体"/>
                <w:b/>
                <w:kern w:val="0"/>
                <w:sz w:val="21"/>
              </w:rPr>
              <w:t>交底书名称</w:t>
            </w:r>
          </w:p>
        </w:tc>
        <w:tc>
          <w:tcPr>
            <w:tcW w:w="3355" w:type="pct"/>
          </w:tcPr>
          <w:p w14:paraId="049F9A13">
            <w:r>
              <w:rPr>
                <w:rFonts w:ascii="Noto Serif CJK SC" w:hAnsi="Noto Serif CJK SC" w:eastAsia="Noto Serif CJK SC"/>
              </w:rPr>
              <w:t>一种卫星通信天线的实验室环境模拟测试系统及方法</w:t>
            </w:r>
          </w:p>
        </w:tc>
      </w:tr>
      <w:tr w14:paraId="6497A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645" w:type="pct"/>
          </w:tcPr>
          <w:p w14:paraId="1BA80B37">
            <w:pPr>
              <w:widowControl/>
              <w:spacing w:after="0" w:line="300" w:lineRule="auto"/>
              <w:jc w:val="left"/>
              <w:rPr>
                <w:rFonts w:ascii="微软雅黑" w:hAnsi="微软雅黑" w:eastAsia="微软雅黑" w:cs="宋体"/>
                <w:b/>
                <w:kern w:val="0"/>
                <w:sz w:val="21"/>
              </w:rPr>
            </w:pPr>
            <w:r>
              <w:rPr>
                <w:rFonts w:hint="eastAsia" w:ascii="Noto Serif CJK SC" w:hAnsi="Noto Serif CJK SC" w:eastAsia="Noto Serif CJK SC" w:cs="宋体"/>
                <w:b/>
                <w:kern w:val="0"/>
                <w:sz w:val="21"/>
              </w:rPr>
              <w:t>交底书联系人</w:t>
            </w:r>
          </w:p>
        </w:tc>
        <w:tc>
          <w:tcPr>
            <w:tcW w:w="3355" w:type="pct"/>
          </w:tcPr>
          <w:p w14:paraId="409A80F0">
            <w:r>
              <w:rPr>
                <w:rFonts w:ascii="Noto Serif CJK SC" w:hAnsi="Noto Serif CJK SC" w:eastAsia="Noto Serif CJK SC"/>
              </w:rPr>
              <w:t>cra（待补充）</w:t>
            </w:r>
          </w:p>
        </w:tc>
      </w:tr>
      <w:tr w14:paraId="58405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645" w:type="pct"/>
          </w:tcPr>
          <w:p w14:paraId="5A853807">
            <w:pPr>
              <w:widowControl/>
              <w:spacing w:after="0" w:line="300" w:lineRule="auto"/>
              <w:jc w:val="left"/>
              <w:rPr>
                <w:rFonts w:ascii="微软雅黑" w:hAnsi="微软雅黑" w:eastAsia="微软雅黑" w:cs="宋体"/>
                <w:b/>
                <w:kern w:val="0"/>
                <w:sz w:val="21"/>
              </w:rPr>
            </w:pPr>
            <w:r>
              <w:rPr>
                <w:rFonts w:hint="eastAsia" w:ascii="Noto Serif CJK SC" w:hAnsi="Noto Serif CJK SC" w:eastAsia="Noto Serif CJK SC" w:cs="宋体"/>
                <w:b/>
                <w:kern w:val="0"/>
                <w:sz w:val="21"/>
              </w:rPr>
              <w:t>联系地址</w:t>
            </w:r>
          </w:p>
        </w:tc>
        <w:tc>
          <w:tcPr>
            <w:tcW w:w="3355" w:type="pct"/>
          </w:tcPr>
          <w:p w14:paraId="37B8EB9F">
            <w:r>
              <w:rPr>
                <w:rFonts w:ascii="Noto Serif CJK SC" w:hAnsi="Noto Serif CJK SC" w:eastAsia="Noto Serif CJK SC"/>
              </w:rPr>
              <w:t>待补充</w:t>
            </w:r>
          </w:p>
        </w:tc>
      </w:tr>
      <w:tr w14:paraId="5F6D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645" w:type="pct"/>
          </w:tcPr>
          <w:p w14:paraId="2D1C9B0B">
            <w:pPr>
              <w:widowControl/>
              <w:spacing w:after="0" w:line="300" w:lineRule="auto"/>
              <w:jc w:val="left"/>
              <w:rPr>
                <w:rFonts w:ascii="微软雅黑" w:hAnsi="微软雅黑" w:eastAsia="微软雅黑" w:cs="宋体"/>
                <w:b/>
                <w:kern w:val="0"/>
                <w:sz w:val="21"/>
              </w:rPr>
            </w:pPr>
            <w:r>
              <w:rPr>
                <w:rFonts w:hint="eastAsia" w:ascii="Noto Serif CJK SC" w:hAnsi="Noto Serif CJK SC" w:eastAsia="Noto Serif CJK SC" w:cs="宋体"/>
                <w:b/>
                <w:kern w:val="0"/>
                <w:sz w:val="21"/>
              </w:rPr>
              <w:t>电话</w:t>
            </w:r>
          </w:p>
        </w:tc>
        <w:tc>
          <w:tcPr>
            <w:tcW w:w="3355" w:type="pct"/>
          </w:tcPr>
          <w:p w14:paraId="2F951CE9">
            <w:r>
              <w:rPr>
                <w:rFonts w:ascii="Noto Serif CJK SC" w:hAnsi="Noto Serif CJK SC" w:eastAsia="Noto Serif CJK SC"/>
              </w:rPr>
              <w:t>待补充</w:t>
            </w:r>
          </w:p>
        </w:tc>
      </w:tr>
      <w:tr w14:paraId="51635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645" w:type="pct"/>
          </w:tcPr>
          <w:p w14:paraId="5241025D">
            <w:pPr>
              <w:widowControl/>
              <w:spacing w:after="0" w:line="300" w:lineRule="auto"/>
              <w:jc w:val="left"/>
              <w:rPr>
                <w:rFonts w:ascii="微软雅黑" w:hAnsi="微软雅黑" w:eastAsia="微软雅黑" w:cs="宋体"/>
                <w:b/>
                <w:kern w:val="0"/>
                <w:sz w:val="21"/>
              </w:rPr>
            </w:pPr>
            <w:r>
              <w:rPr>
                <w:rFonts w:hint="eastAsia" w:ascii="Noto Serif CJK SC" w:hAnsi="Noto Serif CJK SC" w:eastAsia="Noto Serif CJK SC" w:cs="宋体"/>
                <w:b/>
                <w:kern w:val="0"/>
                <w:sz w:val="21"/>
              </w:rPr>
              <w:t>邮箱</w:t>
            </w:r>
          </w:p>
        </w:tc>
        <w:tc>
          <w:tcPr>
            <w:tcW w:w="3355" w:type="pct"/>
          </w:tcPr>
          <w:p w14:paraId="2432839D">
            <w:r>
              <w:rPr>
                <w:rFonts w:ascii="Noto Serif CJK SC" w:hAnsi="Noto Serif CJK SC" w:eastAsia="Noto Serif CJK SC"/>
              </w:rPr>
              <w:t>crata2001@gmail.com</w:t>
            </w:r>
          </w:p>
        </w:tc>
      </w:tr>
    </w:tbl>
    <w:p w14:paraId="323F615B">
      <w:pPr>
        <w:pStyle w:val="17"/>
        <w:spacing w:line="360" w:lineRule="exact"/>
        <w:rPr>
          <w:rFonts w:ascii="微软雅黑" w:hAnsi="微软雅黑" w:eastAsia="微软雅黑"/>
          <w:b/>
          <w:sz w:val="28"/>
        </w:rPr>
      </w:pPr>
    </w:p>
    <w:p w14:paraId="78D4F7AB">
      <w:pPr>
        <w:widowControl/>
        <w:jc w:val="left"/>
        <w:rPr>
          <w:rFonts w:ascii="微软雅黑" w:hAnsi="微软雅黑" w:eastAsia="微软雅黑" w:cs="Times New Roman"/>
          <w:b/>
          <w:kern w:val="0"/>
          <w:sz w:val="28"/>
          <w:szCs w:val="20"/>
        </w:rPr>
      </w:pPr>
    </w:p>
    <w:p w14:paraId="570A91B4">
      <w:pPr>
        <w:pStyle w:val="17"/>
        <w:jc w:val="center"/>
        <w:rPr>
          <w:rFonts w:ascii="微软雅黑" w:hAnsi="微软雅黑" w:eastAsia="微软雅黑"/>
          <w:b/>
          <w:sz w:val="44"/>
          <w:szCs w:val="44"/>
        </w:rPr>
      </w:pPr>
      <w:r>
        <w:rPr>
          <w:rFonts w:hint="eastAsia" w:ascii="Noto Serif CJK SC" w:hAnsi="Noto Serif CJK SC" w:eastAsia="Noto Serif CJK SC"/>
          <w:b/>
          <w:sz w:val="44"/>
          <w:szCs w:val="44"/>
        </w:rPr>
        <w:t>发明/实用新型专利技术交底书正文</w:t>
      </w:r>
    </w:p>
    <w:p w14:paraId="64AFC67C">
      <w:pPr>
        <w:pStyle w:val="17"/>
        <w:spacing w:line="360" w:lineRule="exact"/>
        <w:rPr>
          <w:rFonts w:ascii="微软雅黑" w:hAnsi="微软雅黑" w:eastAsia="微软雅黑"/>
          <w:b/>
          <w:sz w:val="28"/>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2"/>
      </w:tblGrid>
      <w:tr w14:paraId="36EBC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630CD4B">
            <w:pPr>
              <w:pStyle w:val="17"/>
              <w:numPr>
                <w:ilvl w:val="0"/>
                <w:numId w:val="2"/>
              </w:numPr>
              <w:spacing w:after="0" w:line="300" w:lineRule="auto"/>
              <w:rPr>
                <w:rFonts w:ascii="微软雅黑" w:hAnsi="微软雅黑" w:eastAsia="微软雅黑"/>
                <w:b/>
                <w:sz w:val="28"/>
              </w:rPr>
            </w:pPr>
            <w:r>
              <w:rPr>
                <w:rFonts w:hint="eastAsia" w:ascii="Noto Serif CJK SC" w:hAnsi="Noto Serif CJK SC" w:eastAsia="Noto Serif CJK SC"/>
                <w:b/>
                <w:sz w:val="21"/>
              </w:rPr>
              <w:t>介绍现有技术并说明现有技术存在的问题（痛点）</w:t>
            </w:r>
          </w:p>
        </w:tc>
      </w:tr>
      <w:tr w14:paraId="7A4F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4EFCD96">
            <w:r>
              <w:rPr>
                <w:rFonts w:ascii="Noto Serif CJK SC" w:hAnsi="Noto Serif CJK SC" w:eastAsia="Noto Serif CJK SC"/>
              </w:rPr>
              <w:t>书写要点：</w:t>
            </w:r>
            <w:r>
              <w:rPr>
                <w:rFonts w:ascii="Noto Serif CJK SC" w:hAnsi="Noto Serif CJK SC" w:eastAsia="Noto Serif CJK SC"/>
              </w:rPr>
              <w:br w:type="textWrapping"/>
            </w:r>
            <w:r>
              <w:rPr>
                <w:rFonts w:ascii="Noto Serif CJK SC" w:hAnsi="Noto Serif CJK SC" w:eastAsia="Noto Serif CJK SC"/>
              </w:rPr>
              <w:tab/>
            </w:r>
            <w:r>
              <w:rPr>
                <w:rFonts w:ascii="Noto Serif CJK SC" w:hAnsi="Noto Serif CJK SC" w:eastAsia="Noto Serif CJK SC"/>
              </w:rPr>
              <w:t>若引用文献，标明出处；</w:t>
            </w:r>
            <w:r>
              <w:rPr>
                <w:rFonts w:ascii="Noto Serif CJK SC" w:hAnsi="Noto Serif CJK SC" w:eastAsia="Noto Serif CJK SC"/>
              </w:rPr>
              <w:br w:type="textWrapping"/>
            </w:r>
            <w:r>
              <w:rPr>
                <w:rFonts w:ascii="Noto Serif CJK SC" w:hAnsi="Noto Serif CJK SC" w:eastAsia="Noto Serif CJK SC"/>
              </w:rPr>
              <w:tab/>
            </w:r>
            <w:r>
              <w:rPr>
                <w:rFonts w:ascii="Noto Serif CJK SC" w:hAnsi="Noto Serif CJK SC" w:eastAsia="Noto Serif CJK SC"/>
              </w:rPr>
              <w:t>简要描述该技术领域的发展状况，找出与本专利最接近或相似的目前已经公开的技术方案，可以结合附图，用文字对现有方案进行描述，需客观充分地指出现有技术的不足（仅限于本发明创造可以解决的问题和缺点，缺点可以是成本高、误码率高、反应速度慢等类似的问题），但切忌采用诽谤性语言，在可能的情况下，对存在这种问题和缺点的原因以及解决这些问题时曾经遇到的困难进行必要的阐述。</w:t>
            </w:r>
            <w:r>
              <w:rPr>
                <w:rFonts w:ascii="Noto Serif CJK SC" w:hAnsi="Noto Serif CJK SC" w:eastAsia="Noto Serif CJK SC"/>
              </w:rPr>
              <w:br w:type="textWrapping"/>
            </w:r>
            <w:r>
              <w:rPr>
                <w:rFonts w:ascii="Noto Serif CJK SC" w:hAnsi="Noto Serif CJK SC" w:eastAsia="Noto Serif CJK SC"/>
              </w:rPr>
              <w:t>【第三版建议填写内容】</w:t>
            </w:r>
            <w:r>
              <w:rPr>
                <w:rFonts w:ascii="Noto Serif CJK SC" w:hAnsi="Noto Serif CJK SC" w:eastAsia="Noto Serif CJK SC"/>
              </w:rPr>
              <w:br w:type="textWrapping"/>
            </w:r>
            <w:r>
              <w:rPr>
                <w:rFonts w:ascii="Noto Serif CJK SC" w:hAnsi="Noto Serif CJK SC" w:eastAsia="Noto Serif CJK SC"/>
              </w:rPr>
              <w:t>本发明涉及卫星通信天线实验室环境模拟测试与接收灵敏度评估领域，尤其涉及一种在模拟的实验室环境中布置电磁源、提取卫星通信天线空间位置处电磁场，并结合接收机敏感度、天线系数及转换系数推导接收机输入信号的实验室环境模拟测试系统及方法。</w:t>
            </w:r>
            <w:r>
              <w:rPr>
                <w:rFonts w:ascii="Noto Serif CJK SC" w:hAnsi="Noto Serif CJK SC" w:eastAsia="Noto Serif CJK SC"/>
              </w:rPr>
              <w:br w:type="textWrapping"/>
            </w:r>
            <w:r>
              <w:rPr>
                <w:rFonts w:ascii="Noto Serif CJK SC" w:hAnsi="Noto Serif CJK SC" w:eastAsia="Noto Serif CJK SC"/>
              </w:rPr>
              <w:br w:type="textWrapping"/>
            </w:r>
            <w:r>
              <w:rPr>
                <w:rFonts w:ascii="Noto Serif CJK SC" w:hAnsi="Noto Serif CJK SC" w:eastAsia="Noto Serif CJK SC"/>
              </w:rPr>
              <w:t>一、现有技术发展情况</w:t>
            </w:r>
            <w:r>
              <w:rPr>
                <w:rFonts w:ascii="Noto Serif CJK SC" w:hAnsi="Noto Serif CJK SC" w:eastAsia="Noto Serif CJK SC"/>
              </w:rPr>
              <w:br w:type="textWrapping"/>
            </w:r>
            <w:r>
              <w:rPr>
                <w:rFonts w:ascii="Noto Serif CJK SC" w:hAnsi="Noto Serif CJK SC" w:eastAsia="Noto Serif CJK SC"/>
              </w:rPr>
              <w:t>1. 现有卫星通信天线的研发通常分别采用天线方向图仿真、链路预算分析和暗室/半暗室物理测试三类手段。前两类方法通常只关注辐射特性或链路预算，后一类方法则依赖真</w:t>
            </w:r>
            <w:bookmarkStart w:id="0" w:name="_GoBack"/>
            <w:bookmarkEnd w:id="0"/>
            <w:r>
              <w:rPr>
                <w:rFonts w:ascii="Noto Serif CJK SC" w:hAnsi="Noto Serif CJK SC" w:eastAsia="Noto Serif CJK SC"/>
              </w:rPr>
              <w:t>实实验室环境、实体样机和现场测量设备。</w:t>
            </w:r>
            <w:r>
              <w:rPr>
                <w:rFonts w:ascii="Noto Serif CJK SC" w:hAnsi="Noto Serif CJK SC" w:eastAsia="Noto Serif CJK SC"/>
              </w:rPr>
              <w:br w:type="textWrapping"/>
            </w:r>
            <w:r>
              <w:rPr>
                <w:rFonts w:ascii="Noto Serif CJK SC" w:hAnsi="Noto Serif CJK SC" w:eastAsia="Noto Serif CJK SC"/>
              </w:rPr>
              <w:t>2. 在EMC或射频测试体系中，通常会使用源、接收机、天线系数、修正系数和场强等概念来描述“空间电磁场”与“接收端口信号”之间的关系，但这些关系多用于实测数据换算，较少直接集成到卫星通信天线的前期三维仿真评估流程中。</w:t>
            </w:r>
            <w:r>
              <w:rPr>
                <w:rFonts w:ascii="Noto Serif CJK SC" w:hAnsi="Noto Serif CJK SC" w:eastAsia="Noto Serif CJK SC"/>
              </w:rPr>
              <w:br w:type="textWrapping"/>
            </w:r>
            <w:r>
              <w:rPr>
                <w:rFonts w:ascii="Noto Serif CJK SC" w:hAnsi="Noto Serif CJK SC" w:eastAsia="Noto Serif CJK SC"/>
              </w:rPr>
              <w:t>3. 现有三维电磁仿真平台已经具备实验室环境、源、天线、边界条件、场监视器和后处理能力，理论上可以在软件中复现实验室中的电磁传播过程，并提取指定空间位置处的场分布。</w:t>
            </w:r>
            <w:r>
              <w:rPr>
                <w:rFonts w:ascii="Noto Serif CJK SC" w:hAnsi="Noto Serif CJK SC" w:eastAsia="Noto Serif CJK SC"/>
              </w:rPr>
              <w:br w:type="textWrapping"/>
            </w:r>
            <w:r>
              <w:rPr>
                <w:rFonts w:ascii="Noto Serif CJK SC" w:hAnsi="Noto Serif CJK SC" w:eastAsia="Noto Serif CJK SC"/>
              </w:rPr>
              <w:t>4. 对于低轨卫星通信场景，研发前期往往需要在1.5 GHz/1.6 GHz等工作频段快速判断卫星通信天线及其接收机是否满足灵敏度要求；对于扩展方案，还可能涉及Ku频段、信噪比、信号强度和动态频偏等约束。</w:t>
            </w:r>
            <w:r>
              <w:rPr>
                <w:rFonts w:ascii="Noto Serif CJK SC" w:hAnsi="Noto Serif CJK SC" w:eastAsia="Noto Serif CJK SC"/>
              </w:rPr>
              <w:br w:type="textWrapping"/>
            </w:r>
            <w:r>
              <w:rPr>
                <w:rFonts w:ascii="Noto Serif CJK SC" w:hAnsi="Noto Serif CJK SC" w:eastAsia="Noto Serif CJK SC"/>
              </w:rPr>
              <w:br w:type="textWrapping"/>
            </w:r>
            <w:r>
              <w:rPr>
                <w:rFonts w:ascii="Noto Serif CJK SC" w:hAnsi="Noto Serif CJK SC" w:eastAsia="Noto Serif CJK SC"/>
              </w:rPr>
              <w:t>二、现有技术存在的问题（痛点）</w:t>
            </w:r>
            <w:r>
              <w:rPr>
                <w:rFonts w:ascii="Noto Serif CJK SC" w:hAnsi="Noto Serif CJK SC" w:eastAsia="Noto Serif CJK SC"/>
              </w:rPr>
              <w:br w:type="textWrapping"/>
            </w:r>
            <w:r>
              <w:rPr>
                <w:rFonts w:ascii="Noto Serif CJK SC" w:hAnsi="Noto Serif CJK SC" w:eastAsia="Noto Serif CJK SC"/>
              </w:rPr>
              <w:t>1. 现有方案缺少一种“从模拟实验室环境中的源出发，直接得到卫星通信天线空间位置处电磁场，再推导接收机输入信号并判定是否满足灵敏度”的一体化仿真方法。</w:t>
            </w:r>
            <w:r>
              <w:rPr>
                <w:rFonts w:ascii="Noto Serif CJK SC" w:hAnsi="Noto Serif CJK SC" w:eastAsia="Noto Serif CJK SC"/>
              </w:rPr>
              <w:br w:type="textWrapping"/>
            </w:r>
            <w:r>
              <w:rPr>
                <w:rFonts w:ascii="Noto Serif CJK SC" w:hAnsi="Noto Serif CJK SC" w:eastAsia="Noto Serif CJK SC"/>
              </w:rPr>
              <w:t>2. 现有天线仿真多聚焦于驻波、增益、方向图和隔离度，不直接回答“在给定实验室环境和源激励下，接收机端实际可能接收到多大信号”这一问题。</w:t>
            </w:r>
            <w:r>
              <w:rPr>
                <w:rFonts w:ascii="Noto Serif CJK SC" w:hAnsi="Noto Serif CJK SC" w:eastAsia="Noto Serif CJK SC"/>
              </w:rPr>
              <w:br w:type="textWrapping"/>
            </w:r>
            <w:r>
              <w:rPr>
                <w:rFonts w:ascii="Noto Serif CJK SC" w:hAnsi="Noto Serif CJK SC" w:eastAsia="Noto Serif CJK SC"/>
              </w:rPr>
              <w:t>3. 现有物理测试对样机、实验室场地和测试时间依赖较强，研发前期难以对不同源位置、不同极化方式、不同安装姿态和不同修正参数进行快速扫描比较。</w:t>
            </w:r>
            <w:r>
              <w:rPr>
                <w:rFonts w:ascii="Noto Serif CJK SC" w:hAnsi="Noto Serif CJK SC" w:eastAsia="Noto Serif CJK SC"/>
              </w:rPr>
              <w:br w:type="textWrapping"/>
            </w:r>
            <w:r>
              <w:rPr>
                <w:rFonts w:ascii="Noto Serif CJK SC" w:hAnsi="Noto Serif CJK SC" w:eastAsia="Noto Serif CJK SC"/>
              </w:rPr>
              <w:t>4. 接收机敏感度、天线系数、转换系数、线缆损耗、极化失配修正和系统修正量通常分散在不同报告或不同口径中，缺少统一的软件化导入与计算流程。</w:t>
            </w:r>
            <w:r>
              <w:rPr>
                <w:rFonts w:ascii="Noto Serif CJK SC" w:hAnsi="Noto Serif CJK SC" w:eastAsia="Noto Serif CJK SC"/>
              </w:rPr>
              <w:br w:type="textWrapping"/>
            </w:r>
            <w:r>
              <w:rPr>
                <w:rFonts w:ascii="Noto Serif CJK SC" w:hAnsi="Noto Serif CJK SC" w:eastAsia="Noto Serif CJK SC"/>
              </w:rPr>
              <w:t>5. 现有技术难以把“天线空间位置处的场”作为中间可观测量来建立从仿真结果到接收机灵敏度结论的映射链路，导致仿真结果难以直接服务于方案筛选和专利保护。</w:t>
            </w:r>
          </w:p>
        </w:tc>
      </w:tr>
    </w:tbl>
    <w:p w14:paraId="22D6B72E">
      <w:pPr>
        <w:pStyle w:val="17"/>
        <w:rPr>
          <w:rFonts w:ascii="微软雅黑" w:hAnsi="微软雅黑" w:eastAsia="微软雅黑"/>
        </w:rPr>
      </w:pPr>
      <w:permStart w:id="0" w:edGrp="everyone"/>
      <w:r>
        <w:rPr>
          <w:rFonts w:hint="eastAsia" w:ascii="Noto Serif CJK SC" w:hAnsi="Noto Serif CJK SC" w:eastAsia="Noto Serif CJK SC"/>
          <w:sz w:val="21"/>
        </w:rPr>
        <w:t xml:space="preserve"> </w:t>
      </w:r>
      <w:r>
        <w:rPr>
          <w:rFonts w:ascii="Noto Serif CJK SC" w:hAnsi="Noto Serif CJK SC" w:eastAsia="Noto Serif CJK SC"/>
          <w:sz w:val="21"/>
        </w:rPr>
        <w:t xml:space="preserve">  </w:t>
      </w:r>
      <w:permEnd w:id="0"/>
      <w:r>
        <w:rPr>
          <w:rFonts w:ascii="Noto Serif CJK SC" w:hAnsi="Noto Serif CJK SC" w:eastAsia="Noto Serif CJK SC"/>
          <w:sz w:val="21"/>
        </w:rPr>
        <w:t xml:space="preserve"> </w:t>
      </w:r>
    </w:p>
    <w:p w14:paraId="417CB4FA">
      <w:pPr>
        <w:pStyle w:val="17"/>
        <w:rPr>
          <w:rFonts w:ascii="微软雅黑" w:hAnsi="微软雅黑" w:eastAsia="微软雅黑"/>
          <w:sz w:val="21"/>
          <w:szCs w:val="21"/>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2"/>
      </w:tblGrid>
      <w:tr w14:paraId="246C7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79503AD5">
            <w:pPr>
              <w:pStyle w:val="17"/>
              <w:numPr>
                <w:ilvl w:val="0"/>
                <w:numId w:val="2"/>
              </w:numPr>
              <w:spacing w:after="0" w:line="300" w:lineRule="auto"/>
              <w:rPr>
                <w:rFonts w:ascii="微软雅黑" w:hAnsi="微软雅黑" w:eastAsia="微软雅黑"/>
                <w:sz w:val="21"/>
                <w:szCs w:val="21"/>
              </w:rPr>
            </w:pPr>
            <w:r>
              <w:rPr>
                <w:rFonts w:hint="eastAsia" w:ascii="Noto Serif CJK SC" w:hAnsi="Noto Serif CJK SC" w:eastAsia="Noto Serif CJK SC"/>
                <w:b/>
                <w:sz w:val="21"/>
              </w:rPr>
              <w:t>介绍本发明解决的问题及产生的有益效果</w:t>
            </w:r>
          </w:p>
        </w:tc>
      </w:tr>
      <w:tr w14:paraId="19300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C56DE8F">
            <w:r>
              <w:rPr>
                <w:rFonts w:ascii="Noto Serif CJK SC" w:hAnsi="Noto Serif CJK SC" w:eastAsia="Noto Serif CJK SC"/>
              </w:rPr>
              <w:t>书写要点：</w:t>
            </w:r>
            <w:r>
              <w:rPr>
                <w:rFonts w:ascii="Noto Serif CJK SC" w:hAnsi="Noto Serif CJK SC" w:eastAsia="Noto Serif CJK SC"/>
              </w:rPr>
              <w:br w:type="textWrapping"/>
            </w:r>
            <w:r>
              <w:rPr>
                <w:rFonts w:ascii="Noto Serif CJK SC" w:hAnsi="Noto Serif CJK SC" w:eastAsia="Noto Serif CJK SC"/>
              </w:rPr>
              <w:t>解决的问题要与现有技术存在的问题相对应；</w:t>
            </w:r>
            <w:r>
              <w:rPr>
                <w:rFonts w:ascii="Noto Serif CJK SC" w:hAnsi="Noto Serif CJK SC" w:eastAsia="Noto Serif CJK SC"/>
              </w:rPr>
              <w:br w:type="textWrapping"/>
            </w:r>
            <w:r>
              <w:rPr>
                <w:rFonts w:ascii="Noto Serif CJK SC" w:hAnsi="Noto Serif CJK SC" w:eastAsia="Noto Serif CJK SC"/>
              </w:rPr>
              <w:t>有益效果指由构成发明的特征直接带来的，或者是由所述的技术特征必然产生的技术效果；</w:t>
            </w:r>
            <w:r>
              <w:rPr>
                <w:rFonts w:ascii="Noto Serif CJK SC" w:hAnsi="Noto Serif CJK SC" w:eastAsia="Noto Serif CJK SC"/>
              </w:rPr>
              <w:br w:type="textWrapping"/>
            </w:r>
            <w:r>
              <w:rPr>
                <w:rFonts w:ascii="Noto Serif CJK SC" w:hAnsi="Noto Serif CJK SC" w:eastAsia="Noto Serif CJK SC"/>
              </w:rPr>
              <w:t>有益效果是根据技术方案描述对应的技术效果，可以由产率、质量、精度和效率的提高，能耗、原材料、工序的节省，加工、操作、控制、使用的简便，以及有用性能的增加等方面反映出来。</w:t>
            </w:r>
            <w:r>
              <w:rPr>
                <w:rFonts w:ascii="Noto Serif CJK SC" w:hAnsi="Noto Serif CJK SC" w:eastAsia="Noto Serif CJK SC"/>
              </w:rPr>
              <w:br w:type="textWrapping"/>
            </w:r>
            <w:r>
              <w:rPr>
                <w:rFonts w:ascii="Noto Serif CJK SC" w:hAnsi="Noto Serif CJK SC" w:eastAsia="Noto Serif CJK SC"/>
              </w:rPr>
              <w:t>【第三版建议填写内容】</w:t>
            </w:r>
            <w:r>
              <w:rPr>
                <w:rFonts w:ascii="Noto Serif CJK SC" w:hAnsi="Noto Serif CJK SC" w:eastAsia="Noto Serif CJK SC"/>
              </w:rPr>
              <w:br w:type="textWrapping"/>
            </w:r>
            <w:r>
              <w:rPr>
                <w:rFonts w:ascii="Noto Serif CJK SC" w:hAnsi="Noto Serif CJK SC" w:eastAsia="Noto Serif CJK SC"/>
              </w:rPr>
              <w:t>本发明拟解决以下问题：</w:t>
            </w:r>
            <w:r>
              <w:rPr>
                <w:rFonts w:ascii="Noto Serif CJK SC" w:hAnsi="Noto Serif CJK SC" w:eastAsia="Noto Serif CJK SC"/>
              </w:rPr>
              <w:br w:type="textWrapping"/>
            </w:r>
            <w:r>
              <w:rPr>
                <w:rFonts w:ascii="Noto Serif CJK SC" w:hAnsi="Noto Serif CJK SC" w:eastAsia="Noto Serif CJK SC"/>
              </w:rPr>
              <w:t>1. 解决现有技术中无法在模拟实验室环境内，将源激励、卫星通信天线空间位置处的场分布与接收机输入信号统一联系起来的问题。</w:t>
            </w:r>
            <w:r>
              <w:rPr>
                <w:rFonts w:ascii="Noto Serif CJK SC" w:hAnsi="Noto Serif CJK SC" w:eastAsia="Noto Serif CJK SC"/>
              </w:rPr>
              <w:br w:type="textWrapping"/>
            </w:r>
            <w:r>
              <w:rPr>
                <w:rFonts w:ascii="Noto Serif CJK SC" w:hAnsi="Noto Serif CJK SC" w:eastAsia="Noto Serif CJK SC"/>
              </w:rPr>
              <w:t>2. 解决接收机敏感度、天线系数、转换系数及系统修正量无法直接参与仿真后处理和通过/不通过判定的问题。</w:t>
            </w:r>
            <w:r>
              <w:rPr>
                <w:rFonts w:ascii="Noto Serif CJK SC" w:hAnsi="Noto Serif CJK SC" w:eastAsia="Noto Serif CJK SC"/>
              </w:rPr>
              <w:br w:type="textWrapping"/>
            </w:r>
            <w:r>
              <w:rPr>
                <w:rFonts w:ascii="Noto Serif CJK SC" w:hAnsi="Noto Serif CJK SC" w:eastAsia="Noto Serif CJK SC"/>
              </w:rPr>
              <w:t>3. 解决传统物理测试迭代成本高、前期方案筛选效率低的问题，使研发阶段即可快速判断天线/接收机方案是否满足指标要求。</w:t>
            </w:r>
            <w:r>
              <w:rPr>
                <w:rFonts w:ascii="Noto Serif CJK SC" w:hAnsi="Noto Serif CJK SC" w:eastAsia="Noto Serif CJK SC"/>
              </w:rPr>
              <w:br w:type="textWrapping"/>
            </w:r>
            <w:r>
              <w:rPr>
                <w:rFonts w:ascii="Noto Serif CJK SC" w:hAnsi="Noto Serif CJK SC" w:eastAsia="Noto Serif CJK SC"/>
              </w:rPr>
              <w:t>4. 解决不同频段、不同源位置、不同极化方式和不同姿态下缺少统一最差工况搜索机制的问题。</w:t>
            </w:r>
            <w:r>
              <w:rPr>
                <w:rFonts w:ascii="Noto Serif CJK SC" w:hAnsi="Noto Serif CJK SC" w:eastAsia="Noto Serif CJK SC"/>
              </w:rPr>
              <w:br w:type="textWrapping"/>
            </w:r>
            <w:r>
              <w:rPr>
                <w:rFonts w:ascii="Noto Serif CJK SC" w:hAnsi="Noto Serif CJK SC" w:eastAsia="Noto Serif CJK SC"/>
              </w:rPr>
              <w:br w:type="textWrapping"/>
            </w:r>
            <w:r>
              <w:rPr>
                <w:rFonts w:ascii="Noto Serif CJK SC" w:hAnsi="Noto Serif CJK SC" w:eastAsia="Noto Serif CJK SC"/>
              </w:rPr>
              <w:t>本发明预期产生的有益效果包括：</w:t>
            </w:r>
            <w:r>
              <w:rPr>
                <w:rFonts w:ascii="Noto Serif CJK SC" w:hAnsi="Noto Serif CJK SC" w:eastAsia="Noto Serif CJK SC"/>
              </w:rPr>
              <w:br w:type="textWrapping"/>
            </w:r>
            <w:r>
              <w:rPr>
                <w:rFonts w:ascii="Noto Serif CJK SC" w:hAnsi="Noto Serif CJK SC" w:eastAsia="Noto Serif CJK SC"/>
              </w:rPr>
              <w:t>1. 建立“模拟实验室环境中的源 - 天线空间位置处电磁场 - 接收机预测信号 - 灵敏度比较结论”的完整计算链路。</w:t>
            </w:r>
            <w:r>
              <w:rPr>
                <w:rFonts w:ascii="Noto Serif CJK SC" w:hAnsi="Noto Serif CJK SC" w:eastAsia="Noto Serif CJK SC"/>
              </w:rPr>
              <w:br w:type="textWrapping"/>
            </w:r>
            <w:r>
              <w:rPr>
                <w:rFonts w:ascii="Noto Serif CJK SC" w:hAnsi="Noto Serif CJK SC" w:eastAsia="Noto Serif CJK SC"/>
              </w:rPr>
              <w:t>2. 可将一汽或合作方提供的接收机敏感度、天线系数、转换系数、线缆损耗、极化修正等参数以配置文件方式直接导入，减少人工换算误差。</w:t>
            </w:r>
            <w:r>
              <w:rPr>
                <w:rFonts w:ascii="Noto Serif CJK SC" w:hAnsi="Noto Serif CJK SC" w:eastAsia="Noto Serif CJK SC"/>
              </w:rPr>
              <w:br w:type="textWrapping"/>
            </w:r>
            <w:r>
              <w:rPr>
                <w:rFonts w:ascii="Noto Serif CJK SC" w:hAnsi="Noto Serif CJK SC" w:eastAsia="Noto Serif CJK SC"/>
              </w:rPr>
              <w:t>3. 能够在研发早期完成多频点、多源位置、多姿态、多极化的批量扫描，快速识别最差工况和敏感参数。</w:t>
            </w:r>
            <w:r>
              <w:rPr>
                <w:rFonts w:ascii="Noto Serif CJK SC" w:hAnsi="Noto Serif CJK SC" w:eastAsia="Noto Serif CJK SC"/>
              </w:rPr>
              <w:br w:type="textWrapping"/>
            </w:r>
            <w:r>
              <w:rPr>
                <w:rFonts w:ascii="Noto Serif CJK SC" w:hAnsi="Noto Serif CJK SC" w:eastAsia="Noto Serif CJK SC"/>
              </w:rPr>
              <w:t>4. 输出结果直接面向工程判定，可形成接收机预测功率曲线、灵敏度裕量曲线、通过/不通过矩阵和源布置建议。</w:t>
            </w:r>
            <w:r>
              <w:rPr>
                <w:rFonts w:ascii="Noto Serif CJK SC" w:hAnsi="Noto Serif CJK SC" w:eastAsia="Noto Serif CJK SC"/>
              </w:rPr>
              <w:br w:type="textWrapping"/>
            </w:r>
            <w:r>
              <w:rPr>
                <w:rFonts w:ascii="Noto Serif CJK SC" w:hAnsi="Noto Serif CJK SC" w:eastAsia="Noto Serif CJK SC"/>
              </w:rPr>
              <w:t>5. 该方法既可用于低轨卫星通信L波段天线，也可扩展至Ku等其他卫星通信频段，并可根据项目需要附加信噪比、信号强度或动态频偏等扩展判据。</w:t>
            </w:r>
          </w:p>
        </w:tc>
      </w:tr>
    </w:tbl>
    <w:p w14:paraId="214F6933">
      <w:pPr>
        <w:pStyle w:val="17"/>
        <w:rPr>
          <w:rFonts w:ascii="微软雅黑" w:hAnsi="微软雅黑" w:eastAsia="微软雅黑"/>
          <w:sz w:val="21"/>
          <w:szCs w:val="21"/>
        </w:rPr>
      </w:pPr>
      <w:permStart w:id="1" w:edGrp="everyone"/>
      <w:r>
        <w:rPr>
          <w:rFonts w:hint="eastAsia" w:ascii="Noto Serif CJK SC" w:hAnsi="Noto Serif CJK SC" w:eastAsia="Noto Serif CJK SC"/>
          <w:sz w:val="21"/>
          <w:szCs w:val="21"/>
        </w:rPr>
        <w:t xml:space="preserve"> </w:t>
      </w:r>
      <w:r>
        <w:rPr>
          <w:rFonts w:ascii="Noto Serif CJK SC" w:hAnsi="Noto Serif CJK SC" w:eastAsia="Noto Serif CJK SC"/>
          <w:sz w:val="21"/>
          <w:szCs w:val="21"/>
        </w:rPr>
        <w:t xml:space="preserve">   </w:t>
      </w:r>
      <w:permEnd w:id="1"/>
      <w:r>
        <w:rPr>
          <w:rFonts w:ascii="Noto Serif CJK SC" w:hAnsi="Noto Serif CJK SC" w:eastAsia="Noto Serif CJK SC"/>
          <w:sz w:val="21"/>
          <w:szCs w:val="21"/>
        </w:rPr>
        <w:t xml:space="preserve"> </w:t>
      </w:r>
    </w:p>
    <w:p w14:paraId="19498AC6">
      <w:pPr>
        <w:pStyle w:val="17"/>
        <w:spacing w:line="360" w:lineRule="exact"/>
        <w:rPr>
          <w:rFonts w:ascii="微软雅黑" w:hAnsi="微软雅黑" w:eastAsia="微软雅黑"/>
          <w:b/>
          <w:sz w:val="28"/>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2"/>
      </w:tblGrid>
      <w:tr w14:paraId="32212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342E1B5">
            <w:pPr>
              <w:pStyle w:val="17"/>
              <w:numPr>
                <w:ilvl w:val="0"/>
                <w:numId w:val="2"/>
              </w:numPr>
              <w:spacing w:after="0" w:line="300" w:lineRule="auto"/>
              <w:rPr>
                <w:rFonts w:ascii="微软雅黑" w:hAnsi="微软雅黑" w:eastAsia="微软雅黑"/>
                <w:b/>
                <w:sz w:val="28"/>
              </w:rPr>
            </w:pPr>
            <w:r>
              <w:rPr>
                <w:rFonts w:hint="eastAsia" w:ascii="Noto Serif CJK SC" w:hAnsi="Noto Serif CJK SC" w:eastAsia="Noto Serif CJK SC"/>
                <w:b/>
                <w:sz w:val="21"/>
              </w:rPr>
              <w:t>详细说明所采取的技术方案及如何产生有益效果</w:t>
            </w:r>
          </w:p>
        </w:tc>
      </w:tr>
      <w:tr w14:paraId="3BCBF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3F9214B">
            <w:r>
              <w:rPr>
                <w:rFonts w:ascii="Noto Serif CJK SC" w:hAnsi="Noto Serif CJK SC" w:eastAsia="Noto Serif CJK SC"/>
              </w:rPr>
              <w:t>书写要点：</w:t>
            </w:r>
            <w:r>
              <w:rPr>
                <w:rFonts w:ascii="Noto Serif CJK SC" w:hAnsi="Noto Serif CJK SC" w:eastAsia="Noto Serif CJK SC"/>
              </w:rPr>
              <w:br w:type="textWrapping"/>
            </w:r>
            <w:r>
              <w:rPr>
                <w:rFonts w:ascii="Noto Serif CJK SC" w:hAnsi="Noto Serif CJK SC" w:eastAsia="Noto Serif CJK SC"/>
              </w:rPr>
              <w:t>应该结合流程图、原理框图、电路图、时序图进行说明，发明内容的撰写要求清楚、完整地写明发明内容，以所属领域的普通技术人员能够实现为准，具体的详细程度以可以依照描述进行操作并达到所预期的目的为标准，以不需要再去看文献即可领会该技术内容为准；</w:t>
            </w:r>
            <w:r>
              <w:rPr>
                <w:rFonts w:ascii="Noto Serif CJK SC" w:hAnsi="Noto Serif CJK SC" w:eastAsia="Noto Serif CJK SC"/>
              </w:rPr>
              <w:br w:type="textWrapping"/>
            </w:r>
            <w:r>
              <w:rPr>
                <w:rFonts w:ascii="Noto Serif CJK SC" w:hAnsi="Noto Serif CJK SC" w:eastAsia="Noto Serif CJK SC"/>
              </w:rPr>
              <w:t>对机械产品的发明，应详细说明每一个结构零件、部件的形状、构造、部件之间的连接关系、空间位置关系、工作原理，发明中每一功能的实现都要有相应的技术实现方案；（专利必须是完整的技术方案，应该阐述发明目的通过什么技术方案来实现的，不能只有原理，也不能只做功能介绍）；</w:t>
            </w:r>
            <w:r>
              <w:rPr>
                <w:rFonts w:ascii="Noto Serif CJK SC" w:hAnsi="Noto Serif CJK SC" w:eastAsia="Noto Serif CJK SC"/>
              </w:rPr>
              <w:br w:type="textWrapping"/>
            </w:r>
            <w:r>
              <w:rPr>
                <w:rFonts w:ascii="Noto Serif CJK SC" w:hAnsi="Noto Serif CJK SC" w:eastAsia="Noto Serif CJK SC"/>
              </w:rPr>
              <w:t>对于电气产品的发明，应描述电气元件的组成、连接关系，除了电路元器件的连接关系，还应当包括电路元器件的功能和用途；</w:t>
            </w:r>
            <w:r>
              <w:rPr>
                <w:rFonts w:ascii="Noto Serif CJK SC" w:hAnsi="Noto Serif CJK SC" w:eastAsia="Noto Serif CJK SC"/>
              </w:rPr>
              <w:br w:type="textWrapping"/>
            </w:r>
            <w:r>
              <w:rPr>
                <w:rFonts w:ascii="Noto Serif CJK SC" w:hAnsi="Noto Serif CJK SC" w:eastAsia="Noto Serif CJK SC"/>
              </w:rPr>
              <w:t>对于方法发明，应描述操作步骤、工艺参数及有关条件影响因素等，如果方法是由计算机软件实现的，请按照程序执行过程描述。</w:t>
            </w:r>
            <w:r>
              <w:rPr>
                <w:rFonts w:ascii="Noto Serif CJK SC" w:hAnsi="Noto Serif CJK SC" w:eastAsia="Noto Serif CJK SC"/>
              </w:rPr>
              <w:br w:type="textWrapping"/>
            </w:r>
            <w:r>
              <w:rPr>
                <w:rFonts w:ascii="Noto Serif CJK SC" w:hAnsi="Noto Serif CJK SC" w:eastAsia="Noto Serif CJK SC"/>
              </w:rPr>
              <w:t>【第三版建议填写内容】</w:t>
            </w:r>
            <w:r>
              <w:rPr>
                <w:rFonts w:ascii="Noto Serif CJK SC" w:hAnsi="Noto Serif CJK SC" w:eastAsia="Noto Serif CJK SC"/>
              </w:rPr>
              <w:br w:type="textWrapping"/>
            </w:r>
            <w:r>
              <w:rPr>
                <w:rFonts w:ascii="Noto Serif CJK SC" w:hAnsi="Noto Serif CJK SC" w:eastAsia="Noto Serif CJK SC"/>
              </w:rPr>
              <w:t>本发明提供一种卫星通信天线的实验室环境模拟测试系统，包括：</w:t>
            </w:r>
            <w:r>
              <w:rPr>
                <w:rFonts w:ascii="Noto Serif CJK SC" w:hAnsi="Noto Serif CJK SC" w:eastAsia="Noto Serif CJK SC"/>
              </w:rPr>
              <w:br w:type="textWrapping"/>
            </w:r>
            <w:r>
              <w:rPr>
                <w:rFonts w:ascii="Noto Serif CJK SC" w:hAnsi="Noto Serif CJK SC" w:eastAsia="Noto Serif CJK SC"/>
              </w:rPr>
              <w:t>（1）实验室环境模拟模块，用于建立电波暗室、半电波暗室、屏蔽实验室或等效实验室环境模型，并设置壁面材料、吸波边界、地面、夹具和坐标系；</w:t>
            </w:r>
            <w:r>
              <w:rPr>
                <w:rFonts w:ascii="Noto Serif CJK SC" w:hAnsi="Noto Serif CJK SC" w:eastAsia="Noto Serif CJK SC"/>
              </w:rPr>
              <w:br w:type="textWrapping"/>
            </w:r>
            <w:r>
              <w:rPr>
                <w:rFonts w:ascii="Noto Serif CJK SC" w:hAnsi="Noto Serif CJK SC" w:eastAsia="Noto Serif CJK SC"/>
              </w:rPr>
              <w:t>（2）源建模模块，用于在所述实验室环境中布置一个或多个源，所述源可以是发射天线、等效辐射源、平面波源、端口激励源或标准辐射体；</w:t>
            </w:r>
            <w:r>
              <w:rPr>
                <w:rFonts w:ascii="Noto Serif CJK SC" w:hAnsi="Noto Serif CJK SC" w:eastAsia="Noto Serif CJK SC"/>
              </w:rPr>
              <w:br w:type="textWrapping"/>
            </w:r>
            <w:r>
              <w:rPr>
                <w:rFonts w:ascii="Noto Serif CJK SC" w:hAnsi="Noto Serif CJK SC" w:eastAsia="Noto Serif CJK SC"/>
              </w:rPr>
              <w:t>（3）卫星通信天线空间位置定义模块，用于定义被测卫星通信天线的安装位置、姿态、极化方向以及空间参考位置，所述空间参考位置可以是天线相位中心、天线口径参考面、包络面或包络体；</w:t>
            </w:r>
            <w:r>
              <w:rPr>
                <w:rFonts w:ascii="Noto Serif CJK SC" w:hAnsi="Noto Serif CJK SC" w:eastAsia="Noto Serif CJK SC"/>
              </w:rPr>
              <w:br w:type="textWrapping"/>
            </w:r>
            <w:r>
              <w:rPr>
                <w:rFonts w:ascii="Noto Serif CJK SC" w:hAnsi="Noto Serif CJK SC" w:eastAsia="Noto Serif CJK SC"/>
              </w:rPr>
              <w:t>（4）空间场求解与提取模块，用于求解并提取所述空间参考位置处的电场、磁场、功率流密度或投影场分量；</w:t>
            </w:r>
            <w:r>
              <w:rPr>
                <w:rFonts w:ascii="Noto Serif CJK SC" w:hAnsi="Noto Serif CJK SC" w:eastAsia="Noto Serif CJK SC"/>
              </w:rPr>
              <w:br w:type="textWrapping"/>
            </w:r>
            <w:r>
              <w:rPr>
                <w:rFonts w:ascii="Noto Serif CJK SC" w:hAnsi="Noto Serif CJK SC" w:eastAsia="Noto Serif CJK SC"/>
              </w:rPr>
              <w:t>（5）参数导入模块，用于导入接收机敏感度、天线系数 AF、转换系数 CF、天线增益、线缆损耗、极化修正、姿态修正和系统修正量；</w:t>
            </w:r>
            <w:r>
              <w:rPr>
                <w:rFonts w:ascii="Noto Serif CJK SC" w:hAnsi="Noto Serif CJK SC" w:eastAsia="Noto Serif CJK SC"/>
              </w:rPr>
              <w:br w:type="textWrapping"/>
            </w:r>
            <w:r>
              <w:rPr>
                <w:rFonts w:ascii="Noto Serif CJK SC" w:hAnsi="Noto Serif CJK SC" w:eastAsia="Noto Serif CJK SC"/>
              </w:rPr>
              <w:t>（6）场到接收机信号换算模块，用于根据所述空间参考位置处的场结果和所述参数导入模块的参数，计算接收机输入信号；</w:t>
            </w:r>
            <w:r>
              <w:rPr>
                <w:rFonts w:ascii="Noto Serif CJK SC" w:hAnsi="Noto Serif CJK SC" w:eastAsia="Noto Serif CJK SC"/>
              </w:rPr>
              <w:br w:type="textWrapping"/>
            </w:r>
            <w:r>
              <w:rPr>
                <w:rFonts w:ascii="Noto Serif CJK SC" w:hAnsi="Noto Serif CJK SC" w:eastAsia="Noto Serif CJK SC"/>
              </w:rPr>
              <w:t>（7）灵敏度比较模块，用于将预测接收机输入信号与接收机敏感度阈值进行比较，得到通过/不通过结果及灵敏度裕量；</w:t>
            </w:r>
            <w:r>
              <w:rPr>
                <w:rFonts w:ascii="Noto Serif CJK SC" w:hAnsi="Noto Serif CJK SC" w:eastAsia="Noto Serif CJK SC"/>
              </w:rPr>
              <w:br w:type="textWrapping"/>
            </w:r>
            <w:r>
              <w:rPr>
                <w:rFonts w:ascii="Noto Serif CJK SC" w:hAnsi="Noto Serif CJK SC" w:eastAsia="Noto Serif CJK SC"/>
              </w:rPr>
              <w:t>（8）结果输出模块，用于输出场分布、接收机预测信号、灵敏度比较曲线、最差工况和参数建议。</w:t>
            </w:r>
            <w:r>
              <w:rPr>
                <w:rFonts w:ascii="Noto Serif CJK SC" w:hAnsi="Noto Serif CJK SC" w:eastAsia="Noto Serif CJK SC"/>
              </w:rPr>
              <w:br w:type="textWrapping"/>
            </w:r>
            <w:r>
              <w:rPr>
                <w:rFonts w:ascii="Noto Serif CJK SC" w:hAnsi="Noto Serif CJK SC" w:eastAsia="Noto Serif CJK SC"/>
              </w:rPr>
              <w:br w:type="textWrapping"/>
            </w:r>
            <w:r>
              <w:rPr>
                <w:rFonts w:ascii="Noto Serif CJK SC" w:hAnsi="Noto Serif CJK SC" w:eastAsia="Noto Serif CJK SC"/>
              </w:rPr>
              <w:t>进一步地，上述方法包括如下步骤：</w:t>
            </w:r>
            <w:r>
              <w:rPr>
                <w:rFonts w:ascii="Noto Serif CJK SC" w:hAnsi="Noto Serif CJK SC" w:eastAsia="Noto Serif CJK SC"/>
              </w:rPr>
              <w:br w:type="textWrapping"/>
            </w:r>
            <w:r>
              <w:rPr>
                <w:rFonts w:ascii="Noto Serif CJK SC" w:hAnsi="Noto Serif CJK SC" w:eastAsia="Noto Serif CJK SC"/>
              </w:rPr>
              <w:t>S1、实验室环境建模：在三维电磁仿真平台中建立实验室环境模型，设置边界条件、吸波材料、地面反射特性、夹具和坐标轴；所述实验室环境可以为电波暗室、半电波暗室、屏蔽实验室或其等效环境。</w:t>
            </w:r>
            <w:r>
              <w:rPr>
                <w:rFonts w:ascii="Noto Serif CJK SC" w:hAnsi="Noto Serif CJK SC" w:eastAsia="Noto Serif CJK SC"/>
              </w:rPr>
              <w:br w:type="textWrapping"/>
            </w:r>
            <w:r>
              <w:rPr>
                <w:rFonts w:ascii="Noto Serif CJK SC" w:hAnsi="Noto Serif CJK SC" w:eastAsia="Noto Serif CJK SC"/>
              </w:rPr>
              <w:t>S2、源布置与参数设置：在实验室环境模型中放置一个源，并设置源的频率、功率、相位、极化方式、位置、朝向和与被测天线的相对距离；必要时可布置多个离散源或采用参数化移动源。</w:t>
            </w:r>
            <w:r>
              <w:rPr>
                <w:rFonts w:ascii="Noto Serif CJK SC" w:hAnsi="Noto Serif CJK SC" w:eastAsia="Noto Serif CJK SC"/>
              </w:rPr>
              <w:br w:type="textWrapping"/>
            </w:r>
            <w:r>
              <w:rPr>
                <w:rFonts w:ascii="Noto Serif CJK SC" w:hAnsi="Noto Serif CJK SC" w:eastAsia="Noto Serif CJK SC"/>
              </w:rPr>
              <w:t>S3、卫星通信天线模型设置：导入或建立卫星通信天线模型，并给定其安装姿态、极化方向和接收链路接口；在天线附近定义空间参考位置，所述空间参考位置优选为能够表征天线接收特征的参考面、参考体或采样点集。</w:t>
            </w:r>
            <w:r>
              <w:rPr>
                <w:rFonts w:ascii="Noto Serif CJK SC" w:hAnsi="Noto Serif CJK SC" w:eastAsia="Noto Serif CJK SC"/>
              </w:rPr>
              <w:br w:type="textWrapping"/>
            </w:r>
            <w:r>
              <w:rPr>
                <w:rFonts w:ascii="Noto Serif CJK SC" w:hAnsi="Noto Serif CJK SC" w:eastAsia="Noto Serif CJK SC"/>
              </w:rPr>
              <w:t>S4、空间场求解：在所述空间参考位置处求解场分布，得到 E_ref(f) 或其等效统计量；所述等效统计量至少可以是峰值、均值、均方根值、面积平均值、体平均值或按极化投影后的有效场值。</w:t>
            </w:r>
            <w:r>
              <w:rPr>
                <w:rFonts w:ascii="Noto Serif CJK SC" w:hAnsi="Noto Serif CJK SC" w:eastAsia="Noto Serif CJK SC"/>
              </w:rPr>
              <w:br w:type="textWrapping"/>
            </w:r>
            <w:r>
              <w:rPr>
                <w:rFonts w:ascii="Noto Serif CJK SC" w:hAnsi="Noto Serif CJK SC" w:eastAsia="Noto Serif CJK SC"/>
              </w:rPr>
              <w:t>S5、参数导入：读取一汽或合作方提供的接收机敏感度 S_sens(f)、天线系数 AF(f)、转换系数 CF(f) 以及项目定义的修正项，形成可复用的参数配置表。</w:t>
            </w:r>
            <w:r>
              <w:rPr>
                <w:rFonts w:ascii="Noto Serif CJK SC" w:hAnsi="Noto Serif CJK SC" w:eastAsia="Noto Serif CJK SC"/>
              </w:rPr>
              <w:br w:type="textWrapping"/>
            </w:r>
            <w:r>
              <w:rPr>
                <w:rFonts w:ascii="Noto Serif CJK SC" w:hAnsi="Noto Serif CJK SC" w:eastAsia="Noto Serif CJK SC"/>
              </w:rPr>
              <w:t>S6、场到接收机信号换算：按照预设口径，将空间参考位置处的场结果换算为接收机输入信号。一个实施方式中采用如下关系式：</w:t>
            </w:r>
            <w:r>
              <w:rPr>
                <w:rFonts w:ascii="Noto Serif CJK SC" w:hAnsi="Noto Serif CJK SC" w:eastAsia="Noto Serif CJK SC"/>
              </w:rPr>
              <w:br w:type="textWrapping"/>
            </w:r>
            <w:r>
              <w:rPr>
                <w:rFonts w:ascii="Noto Serif CJK SC" w:hAnsi="Noto Serif CJK SC" w:eastAsia="Noto Serif CJK SC"/>
              </w:rPr>
              <w:t>P_rx(dBm) = E_ref(dBuV/m) - AF(dB/m) + CF(dB) + K_total(dB)</w:t>
            </w:r>
            <w:r>
              <w:rPr>
                <w:rFonts w:ascii="Noto Serif CJK SC" w:hAnsi="Noto Serif CJK SC" w:eastAsia="Noto Serif CJK SC"/>
              </w:rPr>
              <w:br w:type="textWrapping"/>
            </w:r>
            <w:r>
              <w:rPr>
                <w:rFonts w:ascii="Noto Serif CJK SC" w:hAnsi="Noto Serif CJK SC" w:eastAsia="Noto Serif CJK SC"/>
              </w:rPr>
              <w:t>其中，P_rx 为预测接收机输入功率，E_ref 为天线空间参考位置处的场强结果，AF 为天线系数，CF 为从天线端电压或场量换算到接收机端功率所使用的转换系数，K_total 为有符号总修正项，至少包括线缆损耗、阻抗换算、匹配修正、极化修正、姿态修正、前端增益/损耗或系统标定修正中的一种或多种。</w:t>
            </w:r>
            <w:r>
              <w:rPr>
                <w:rFonts w:ascii="Noto Serif CJK SC" w:hAnsi="Noto Serif CJK SC" w:eastAsia="Noto Serif CJK SC"/>
              </w:rPr>
              <w:br w:type="textWrapping"/>
            </w:r>
            <w:r>
              <w:rPr>
                <w:rFonts w:ascii="Noto Serif CJK SC" w:hAnsi="Noto Serif CJK SC" w:eastAsia="Noto Serif CJK SC"/>
              </w:rPr>
              <w:t>S7、灵敏度比较：计算灵敏度裕量 M(f) = P_rx(f) - S_sens(f)。当 M(f) 大于或等于 0 时判定为满足灵敏度要求；当 M(f) 小于 0 时判定为不满足灵敏度要求。</w:t>
            </w:r>
            <w:r>
              <w:rPr>
                <w:rFonts w:ascii="Noto Serif CJK SC" w:hAnsi="Noto Serif CJK SC" w:eastAsia="Noto Serif CJK SC"/>
              </w:rPr>
              <w:br w:type="textWrapping"/>
            </w:r>
            <w:r>
              <w:rPr>
                <w:rFonts w:ascii="Noto Serif CJK SC" w:hAnsi="Noto Serif CJK SC" w:eastAsia="Noto Serif CJK SC"/>
              </w:rPr>
              <w:t>S8、最差工况搜索：对源的位置、朝向、极化、频点、功率和天线姿态进行参数扫描，求出最小灵敏度裕量对应的最差工况，并记录对应场分布和源布置条件。</w:t>
            </w:r>
            <w:r>
              <w:rPr>
                <w:rFonts w:ascii="Noto Serif CJK SC" w:hAnsi="Noto Serif CJK SC" w:eastAsia="Noto Serif CJK SC"/>
              </w:rPr>
              <w:br w:type="textWrapping"/>
            </w:r>
            <w:r>
              <w:rPr>
                <w:rFonts w:ascii="Noto Serif CJK SC" w:hAnsi="Noto Serif CJK SC" w:eastAsia="Noto Serif CJK SC"/>
              </w:rPr>
              <w:t>S9、结果输出：输出至少包括实验室环境布置图、天线空间参考位置场分布图、预测接收机信号曲线、灵敏度比较曲线、通过/不通过结论和最差工况说明。</w:t>
            </w:r>
            <w:r>
              <w:rPr>
                <w:rFonts w:ascii="Noto Serif CJK SC" w:hAnsi="Noto Serif CJK SC" w:eastAsia="Noto Serif CJK SC"/>
              </w:rPr>
              <w:br w:type="textWrapping"/>
            </w:r>
            <w:r>
              <w:rPr>
                <w:rFonts w:ascii="Noto Serif CJK SC" w:hAnsi="Noto Serif CJK SC" w:eastAsia="Noto Serif CJK SC"/>
              </w:rPr>
              <w:t>S10、参数优化迭代：当不满足灵敏度要求时，对源布置、天线安装位置、天线姿态、天线罩材料、匹配网络、线缆路径或系统修正参数进行调整，并重复步骤 S4-S9。</w:t>
            </w:r>
            <w:r>
              <w:rPr>
                <w:rFonts w:ascii="Noto Serif CJK SC" w:hAnsi="Noto Serif CJK SC" w:eastAsia="Noto Serif CJK SC"/>
              </w:rPr>
              <w:br w:type="textWrapping"/>
            </w:r>
            <w:r>
              <w:rPr>
                <w:rFonts w:ascii="Noto Serif CJK SC" w:hAnsi="Noto Serif CJK SC" w:eastAsia="Noto Serif CJK SC"/>
              </w:rPr>
              <w:br w:type="textWrapping"/>
            </w:r>
            <w:r>
              <w:rPr>
                <w:rFonts w:ascii="Noto Serif CJK SC" w:hAnsi="Noto Serif CJK SC" w:eastAsia="Noto Serif CJK SC"/>
              </w:rPr>
              <w:t>进一步地，所述场到接收机信号换算模块还支持增益/有效口径路径，即先由空间参考位置处场强得到功率流密度，再结合天线增益或有效口径得到接收功率；不同口径可以在同一系统中通过参数配置切换，以适配不同合作方报告格式。</w:t>
            </w:r>
            <w:r>
              <w:rPr>
                <w:rFonts w:ascii="Noto Serif CJK SC" w:hAnsi="Noto Serif CJK SC" w:eastAsia="Noto Serif CJK SC"/>
              </w:rPr>
              <w:br w:type="textWrapping"/>
            </w:r>
            <w:r>
              <w:rPr>
                <w:rFonts w:ascii="Noto Serif CJK SC" w:hAnsi="Noto Serif CJK SC" w:eastAsia="Noto Serif CJK SC"/>
              </w:rPr>
              <w:br w:type="textWrapping"/>
            </w:r>
            <w:r>
              <w:rPr>
                <w:rFonts w:ascii="Noto Serif CJK SC" w:hAnsi="Noto Serif CJK SC" w:eastAsia="Noto Serif CJK SC"/>
              </w:rPr>
              <w:t>进一步地，所述系统优选部署于 CST 或其他三维电磁仿真平台中，能够对 1.5 GHz、1.6 GHz 及 Ku 等频段进行求解；如项目需要，还可附加信噪比、信号强度和 300 Hz/s 多普勒频率变化率等扩展判据。</w:t>
            </w:r>
          </w:p>
        </w:tc>
      </w:tr>
    </w:tbl>
    <w:p w14:paraId="5169988B">
      <w:pPr>
        <w:pStyle w:val="17"/>
        <w:rPr>
          <w:rFonts w:ascii="微软雅黑" w:hAnsi="微软雅黑" w:eastAsia="微软雅黑"/>
          <w:sz w:val="21"/>
          <w:szCs w:val="21"/>
        </w:rPr>
      </w:pPr>
      <w:permStart w:id="2" w:edGrp="everyone"/>
      <w:r>
        <w:rPr>
          <w:rFonts w:hint="eastAsia" w:ascii="Noto Serif CJK SC" w:hAnsi="Noto Serif CJK SC" w:eastAsia="Noto Serif CJK SC"/>
          <w:sz w:val="21"/>
          <w:szCs w:val="21"/>
        </w:rPr>
        <w:t xml:space="preserve"> </w:t>
      </w:r>
      <w:r>
        <w:rPr>
          <w:rFonts w:ascii="Noto Serif CJK SC" w:hAnsi="Noto Serif CJK SC" w:eastAsia="Noto Serif CJK SC"/>
          <w:sz w:val="21"/>
          <w:szCs w:val="21"/>
        </w:rPr>
        <w:t xml:space="preserve">   </w:t>
      </w:r>
      <w:permEnd w:id="2"/>
      <w:r>
        <w:rPr>
          <w:rFonts w:ascii="Noto Serif CJK SC" w:hAnsi="Noto Serif CJK SC" w:eastAsia="Noto Serif CJK SC"/>
          <w:sz w:val="21"/>
          <w:szCs w:val="21"/>
        </w:rPr>
        <w:t xml:space="preserve"> </w:t>
      </w:r>
    </w:p>
    <w:p w14:paraId="218F9114">
      <w:pPr>
        <w:pStyle w:val="17"/>
        <w:rPr>
          <w:rFonts w:ascii="微软雅黑" w:hAnsi="微软雅黑" w:eastAsia="微软雅黑"/>
          <w:sz w:val="21"/>
          <w:szCs w:val="21"/>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2"/>
      </w:tblGrid>
      <w:tr w14:paraId="5DF7C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742D3C6A">
            <w:pPr>
              <w:pStyle w:val="17"/>
              <w:numPr>
                <w:ilvl w:val="0"/>
                <w:numId w:val="2"/>
              </w:numPr>
              <w:spacing w:after="0" w:line="300" w:lineRule="auto"/>
              <w:rPr>
                <w:rFonts w:ascii="微软雅黑" w:hAnsi="微软雅黑" w:eastAsia="微软雅黑"/>
                <w:b/>
                <w:sz w:val="28"/>
              </w:rPr>
            </w:pPr>
            <w:r>
              <w:rPr>
                <w:rFonts w:hint="eastAsia" w:ascii="Noto Serif CJK SC" w:hAnsi="Noto Serif CJK SC" w:eastAsia="Noto Serif CJK SC"/>
                <w:b/>
                <w:sz w:val="21"/>
              </w:rPr>
              <w:t>具体实施例及其他有助于理解本技术的资料</w:t>
            </w:r>
          </w:p>
        </w:tc>
      </w:tr>
      <w:tr w14:paraId="26FC9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D1AA334">
            <w:r>
              <w:rPr>
                <w:rFonts w:ascii="Noto Serif CJK SC" w:hAnsi="Noto Serif CJK SC" w:eastAsia="Noto Serif CJK SC"/>
              </w:rPr>
              <w:t>书写要点：</w:t>
            </w:r>
            <w:r>
              <w:rPr>
                <w:rFonts w:ascii="Noto Serif CJK SC" w:hAnsi="Noto Serif CJK SC" w:eastAsia="Noto Serif CJK SC"/>
              </w:rPr>
              <w:br w:type="textWrapping"/>
            </w:r>
            <w:r>
              <w:rPr>
                <w:rFonts w:ascii="Noto Serif CJK SC" w:hAnsi="Noto Serif CJK SC" w:eastAsia="Noto Serif CJK SC"/>
              </w:rPr>
              <w:t>提供实施发明的优选具体实施方式和实施例；</w:t>
            </w:r>
            <w:r>
              <w:rPr>
                <w:rFonts w:ascii="Noto Serif CJK SC" w:hAnsi="Noto Serif CJK SC" w:eastAsia="Noto Serif CJK SC"/>
              </w:rPr>
              <w:br w:type="textWrapping"/>
            </w:r>
            <w:r>
              <w:rPr>
                <w:rFonts w:ascii="Noto Serif CJK SC" w:hAnsi="Noto Serif CJK SC" w:eastAsia="Noto Serif CJK SC"/>
              </w:rPr>
              <w:t>进一步充分公开技术方案，便于代理老师充分理解；</w:t>
            </w:r>
            <w:r>
              <w:rPr>
                <w:rFonts w:ascii="Noto Serif CJK SC" w:hAnsi="Noto Serif CJK SC" w:eastAsia="Noto Serif CJK SC"/>
              </w:rPr>
              <w:br w:type="textWrapping"/>
            </w:r>
            <w:r>
              <w:rPr>
                <w:rFonts w:ascii="Noto Serif CJK SC" w:hAnsi="Noto Serif CJK SC" w:eastAsia="Noto Serif CJK SC"/>
              </w:rPr>
              <w:t>如果有其他有助于理解本技术的资料，要尽量列明并阐述。</w:t>
            </w:r>
            <w:r>
              <w:rPr>
                <w:rFonts w:ascii="Noto Serif CJK SC" w:hAnsi="Noto Serif CJK SC" w:eastAsia="Noto Serif CJK SC"/>
              </w:rPr>
              <w:br w:type="textWrapping"/>
            </w:r>
            <w:r>
              <w:rPr>
                <w:rFonts w:ascii="Noto Serif CJK SC" w:hAnsi="Noto Serif CJK SC" w:eastAsia="Noto Serif CJK SC"/>
              </w:rPr>
              <w:t>【第三版建议填写内容】</w:t>
            </w:r>
            <w:r>
              <w:rPr>
                <w:rFonts w:ascii="Noto Serif CJK SC" w:hAnsi="Noto Serif CJK SC" w:eastAsia="Noto Serif CJK SC"/>
              </w:rPr>
              <w:br w:type="textWrapping"/>
            </w:r>
            <w:r>
              <w:rPr>
                <w:rFonts w:ascii="Noto Serif CJK SC" w:hAnsi="Noto Serif CJK SC" w:eastAsia="Noto Serif CJK SC"/>
              </w:rPr>
              <w:t>实施例 1：低轨卫星通信天线的实验室环境模拟灵敏度评估。</w:t>
            </w:r>
            <w:r>
              <w:rPr>
                <w:rFonts w:ascii="Noto Serif CJK SC" w:hAnsi="Noto Serif CJK SC" w:eastAsia="Noto Serif CJK SC"/>
              </w:rPr>
              <w:br w:type="textWrapping"/>
            </w:r>
            <w:r>
              <w:rPr>
                <w:rFonts w:ascii="Noto Serif CJK SC" w:hAnsi="Noto Serif CJK SC" w:eastAsia="Noto Serif CJK SC"/>
              </w:rPr>
              <w:t>以某低轨卫星通信天线为被测对象，在仿真软件中建立等效实验室环境模型，在实验室环境中布置一个源，并设定测试频率覆盖 1.5 GHz/1.6 GHz。随后在卫星通信天线口径附近建立空间参考面，提取该参考面上的有效场强 E_ref(f)。再导入一汽提供的接收机敏感度阈值（例如优于 -120 dBm 的要求）、天线系数 AF(f) 和转换系数 CF(f)，按照本发明的换算关系得到预测接收机输入功率 P_rx(f)，并与灵敏度阈值比较，输出灵敏度裕量 M(f) 以及通过/不通过结论。</w:t>
            </w:r>
            <w:r>
              <w:rPr>
                <w:rFonts w:ascii="Noto Serif CJK SC" w:hAnsi="Noto Serif CJK SC" w:eastAsia="Noto Serif CJK SC"/>
              </w:rPr>
              <w:br w:type="textWrapping"/>
            </w:r>
            <w:r>
              <w:rPr>
                <w:rFonts w:ascii="Noto Serif CJK SC" w:hAnsi="Noto Serif CJK SC" w:eastAsia="Noto Serif CJK SC"/>
              </w:rPr>
              <w:br w:type="textWrapping"/>
            </w:r>
            <w:r>
              <w:rPr>
                <w:rFonts w:ascii="Noto Serif CJK SC" w:hAnsi="Noto Serif CJK SC" w:eastAsia="Noto Serif CJK SC"/>
              </w:rPr>
              <w:t>实施例 2：源位置和极化方式扫描。</w:t>
            </w:r>
            <w:r>
              <w:rPr>
                <w:rFonts w:ascii="Noto Serif CJK SC" w:hAnsi="Noto Serif CJK SC" w:eastAsia="Noto Serif CJK SC"/>
              </w:rPr>
              <w:br w:type="textWrapping"/>
            </w:r>
            <w:r>
              <w:rPr>
                <w:rFonts w:ascii="Noto Serif CJK SC" w:hAnsi="Noto Serif CJK SC" w:eastAsia="Noto Serif CJK SC"/>
              </w:rPr>
              <w:t>在实施例 1 的基础上，将源在实验室环境中的位置、朝向和极化方式设置为参数化变量，分别扫描多个源位置、多个极化方向和多个安装高度，得到各工况下的最小灵敏度裕量。通过该实施例可以确定最差源布置工况，并为实验室布置、天线屏蔽和安装位置优化提供依据。</w:t>
            </w:r>
            <w:r>
              <w:rPr>
                <w:rFonts w:ascii="Noto Serif CJK SC" w:hAnsi="Noto Serif CJK SC" w:eastAsia="Noto Serif CJK SC"/>
              </w:rPr>
              <w:br w:type="textWrapping"/>
            </w:r>
            <w:r>
              <w:rPr>
                <w:rFonts w:ascii="Noto Serif CJK SC" w:hAnsi="Noto Serif CJK SC" w:eastAsia="Noto Serif CJK SC"/>
              </w:rPr>
              <w:br w:type="textWrapping"/>
            </w:r>
            <w:r>
              <w:rPr>
                <w:rFonts w:ascii="Noto Serif CJK SC" w:hAnsi="Noto Serif CJK SC" w:eastAsia="Noto Serif CJK SC"/>
              </w:rPr>
              <w:t>实施例 3：两种换算口径切换。</w:t>
            </w:r>
            <w:r>
              <w:rPr>
                <w:rFonts w:ascii="Noto Serif CJK SC" w:hAnsi="Noto Serif CJK SC" w:eastAsia="Noto Serif CJK SC"/>
              </w:rPr>
              <w:br w:type="textWrapping"/>
            </w:r>
            <w:r>
              <w:rPr>
                <w:rFonts w:ascii="Noto Serif CJK SC" w:hAnsi="Noto Serif CJK SC" w:eastAsia="Noto Serif CJK SC"/>
              </w:rPr>
              <w:t>对于同一空间参考位置处的场结果，系统可分别采用“AF/CF 口径”和“增益/有效口径口径”进行换算。当前者用于接收机敏感度和测试系数来自 EMC/射频测试报告的场景时，后者可用于合作方仅提供天线增益、有效口径、匹配效率和链路损耗参数的场景。通过参数配置文件切换换算口径，无需重建三维模型。</w:t>
            </w:r>
            <w:r>
              <w:rPr>
                <w:rFonts w:ascii="Noto Serif CJK SC" w:hAnsi="Noto Serif CJK SC" w:eastAsia="Noto Serif CJK SC"/>
              </w:rPr>
              <w:br w:type="textWrapping"/>
            </w:r>
            <w:r>
              <w:rPr>
                <w:rFonts w:ascii="Noto Serif CJK SC" w:hAnsi="Noto Serif CJK SC" w:eastAsia="Noto Serif CJK SC"/>
              </w:rPr>
              <w:br w:type="textWrapping"/>
            </w:r>
            <w:r>
              <w:rPr>
                <w:rFonts w:ascii="Noto Serif CJK SC" w:hAnsi="Noto Serif CJK SC" w:eastAsia="Noto Serif CJK SC"/>
              </w:rPr>
              <w:t>实施例 4：扩展到项目指标联合判定。</w:t>
            </w:r>
            <w:r>
              <w:rPr>
                <w:rFonts w:ascii="Noto Serif CJK SC" w:hAnsi="Noto Serif CJK SC" w:eastAsia="Noto Serif CJK SC"/>
              </w:rPr>
              <w:br w:type="textWrapping"/>
            </w:r>
            <w:r>
              <w:rPr>
                <w:rFonts w:ascii="Noto Serif CJK SC" w:hAnsi="Noto Serif CJK SC" w:eastAsia="Noto Serif CJK SC"/>
              </w:rPr>
              <w:t>除接收机灵敏度外，本发明还可以附加项目扩展指标进行联合评估。例如，在低轨上行 1.6 GHz、下行 1.5 GHz 场景中，可将语音业务速率 2.4 kbps 对应的接收门限、信噪比不低于 1 dB、信号强度不低于 1 dBm 作为扩展判据；在扩展至 Ku 终端时，还可将宽带速率、EIRP、G/T 等指标接入同一参数配置体系。上述扩展判据不改变本发明“由天线空间位置处的场推导接收机信号并判定灵敏度”的核心链路。</w:t>
            </w:r>
            <w:r>
              <w:rPr>
                <w:rFonts w:ascii="Noto Serif CJK SC" w:hAnsi="Noto Serif CJK SC" w:eastAsia="Noto Serif CJK SC"/>
              </w:rPr>
              <w:br w:type="textWrapping"/>
            </w:r>
            <w:r>
              <w:rPr>
                <w:rFonts w:ascii="Noto Serif CJK SC" w:hAnsi="Noto Serif CJK SC" w:eastAsia="Noto Serif CJK SC"/>
              </w:rPr>
              <w:br w:type="textWrapping"/>
            </w:r>
            <w:r>
              <w:rPr>
                <w:rFonts w:ascii="Noto Serif CJK SC" w:hAnsi="Noto Serif CJK SC" w:eastAsia="Noto Serif CJK SC"/>
              </w:rPr>
              <w:t>其他建议补充资料：</w:t>
            </w:r>
            <w:r>
              <w:rPr>
                <w:rFonts w:ascii="Noto Serif CJK SC" w:hAnsi="Noto Serif CJK SC" w:eastAsia="Noto Serif CJK SC"/>
              </w:rPr>
              <w:br w:type="textWrapping"/>
            </w:r>
            <w:r>
              <w:rPr>
                <w:rFonts w:ascii="Noto Serif CJK SC" w:hAnsi="Noto Serif CJK SC" w:eastAsia="Noto Serif CJK SC"/>
              </w:rPr>
              <w:t>1. 实验室环境模型尺寸、边界条件和材料参数说明；</w:t>
            </w:r>
            <w:r>
              <w:rPr>
                <w:rFonts w:ascii="Noto Serif CJK SC" w:hAnsi="Noto Serif CJK SC" w:eastAsia="Noto Serif CJK SC"/>
              </w:rPr>
              <w:br w:type="textWrapping"/>
            </w:r>
            <w:r>
              <w:rPr>
                <w:rFonts w:ascii="Noto Serif CJK SC" w:hAnsi="Noto Serif CJK SC" w:eastAsia="Noto Serif CJK SC"/>
              </w:rPr>
              <w:t>2. 源的类型、位置、极化和功率配置表；</w:t>
            </w:r>
            <w:r>
              <w:rPr>
                <w:rFonts w:ascii="Noto Serif CJK SC" w:hAnsi="Noto Serif CJK SC" w:eastAsia="Noto Serif CJK SC"/>
              </w:rPr>
              <w:br w:type="textWrapping"/>
            </w:r>
            <w:r>
              <w:rPr>
                <w:rFonts w:ascii="Noto Serif CJK SC" w:hAnsi="Noto Serif CJK SC" w:eastAsia="Noto Serif CJK SC"/>
              </w:rPr>
              <w:t>3. 卫星通信天线空间参考面/参考体定义图；</w:t>
            </w:r>
            <w:r>
              <w:rPr>
                <w:rFonts w:ascii="Noto Serif CJK SC" w:hAnsi="Noto Serif CJK SC" w:eastAsia="Noto Serif CJK SC"/>
              </w:rPr>
              <w:br w:type="textWrapping"/>
            </w:r>
            <w:r>
              <w:rPr>
                <w:rFonts w:ascii="Noto Serif CJK SC" w:hAnsi="Noto Serif CJK SC" w:eastAsia="Noto Serif CJK SC"/>
              </w:rPr>
              <w:t>4. 接收机敏感度、天线系数、转换系数和系统修正量示例表；</w:t>
            </w:r>
            <w:r>
              <w:rPr>
                <w:rFonts w:ascii="Noto Serif CJK SC" w:hAnsi="Noto Serif CJK SC" w:eastAsia="Noto Serif CJK SC"/>
              </w:rPr>
              <w:br w:type="textWrapping"/>
            </w:r>
            <w:r>
              <w:rPr>
                <w:rFonts w:ascii="Noto Serif CJK SC" w:hAnsi="Noto Serif CJK SC" w:eastAsia="Noto Serif CJK SC"/>
              </w:rPr>
              <w:t>5. 预测接收机输入功率与灵敏度对比图；</w:t>
            </w:r>
            <w:r>
              <w:rPr>
                <w:rFonts w:ascii="Noto Serif CJK SC" w:hAnsi="Noto Serif CJK SC" w:eastAsia="Noto Serif CJK SC"/>
              </w:rPr>
              <w:br w:type="textWrapping"/>
            </w:r>
            <w:r>
              <w:rPr>
                <w:rFonts w:ascii="Noto Serif CJK SC" w:hAnsi="Noto Serif CJK SC" w:eastAsia="Noto Serif CJK SC"/>
              </w:rPr>
              <w:t>6. 最差工况搜索结果表和参数优化建议表。</w:t>
            </w:r>
          </w:p>
        </w:tc>
      </w:tr>
    </w:tbl>
    <w:p w14:paraId="6DD6C3DC">
      <w:pPr>
        <w:pStyle w:val="17"/>
        <w:rPr>
          <w:rFonts w:ascii="微软雅黑" w:hAnsi="微软雅黑" w:eastAsia="微软雅黑"/>
          <w:sz w:val="21"/>
          <w:szCs w:val="21"/>
        </w:rPr>
      </w:pPr>
      <w:permStart w:id="3" w:edGrp="everyone"/>
      <w:r>
        <w:rPr>
          <w:rFonts w:hint="eastAsia" w:ascii="Noto Serif CJK SC" w:hAnsi="Noto Serif CJK SC" w:eastAsia="Noto Serif CJK SC"/>
          <w:sz w:val="21"/>
          <w:szCs w:val="21"/>
        </w:rPr>
        <w:t xml:space="preserve"> </w:t>
      </w:r>
      <w:r>
        <w:rPr>
          <w:rFonts w:ascii="Noto Serif CJK SC" w:hAnsi="Noto Serif CJK SC" w:eastAsia="Noto Serif CJK SC"/>
          <w:sz w:val="21"/>
          <w:szCs w:val="21"/>
        </w:rPr>
        <w:t xml:space="preserve">   </w:t>
      </w:r>
      <w:permEnd w:id="3"/>
      <w:r>
        <w:rPr>
          <w:rFonts w:ascii="Noto Serif CJK SC" w:hAnsi="Noto Serif CJK SC" w:eastAsia="Noto Serif CJK SC"/>
          <w:sz w:val="21"/>
          <w:szCs w:val="21"/>
        </w:rPr>
        <w:t xml:space="preserve"> </w:t>
      </w:r>
    </w:p>
    <w:p w14:paraId="1CC8C585">
      <w:pPr>
        <w:pStyle w:val="17"/>
        <w:rPr>
          <w:rFonts w:ascii="微软雅黑" w:hAnsi="微软雅黑" w:eastAsia="微软雅黑"/>
          <w:sz w:val="21"/>
          <w:szCs w:val="21"/>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2"/>
      </w:tblGrid>
      <w:tr w14:paraId="17BDD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1B50E05">
            <w:pPr>
              <w:pStyle w:val="17"/>
              <w:numPr>
                <w:ilvl w:val="0"/>
                <w:numId w:val="2"/>
              </w:numPr>
              <w:spacing w:after="0" w:line="300" w:lineRule="auto"/>
              <w:rPr>
                <w:rFonts w:ascii="微软雅黑" w:hAnsi="微软雅黑" w:eastAsia="微软雅黑"/>
                <w:b/>
                <w:sz w:val="28"/>
              </w:rPr>
            </w:pPr>
            <w:r>
              <w:rPr>
                <w:rFonts w:hint="eastAsia" w:ascii="Noto Serif CJK SC" w:hAnsi="Noto Serif CJK SC" w:eastAsia="Noto Serif CJK SC"/>
                <w:b/>
                <w:sz w:val="21"/>
              </w:rPr>
              <w:t>本发明的关键点和欲保护点是什么？ 是否有替代方案同样能实现发明目的？</w:t>
            </w:r>
          </w:p>
        </w:tc>
      </w:tr>
      <w:tr w14:paraId="723F5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7650774">
            <w:r>
              <w:rPr>
                <w:rFonts w:ascii="Noto Serif CJK SC" w:hAnsi="Noto Serif CJK SC" w:eastAsia="Noto Serif CJK SC"/>
              </w:rPr>
              <w:t>书写要点：</w:t>
            </w:r>
            <w:r>
              <w:rPr>
                <w:rFonts w:ascii="Noto Serif CJK SC" w:hAnsi="Noto Serif CJK SC" w:eastAsia="Noto Serif CJK SC"/>
              </w:rPr>
              <w:br w:type="textWrapping"/>
            </w:r>
            <w:r>
              <w:rPr>
                <w:rFonts w:ascii="Noto Serif CJK SC" w:hAnsi="Noto Serif CJK SC" w:eastAsia="Noto Serif CJK SC"/>
              </w:rPr>
              <w:t>提炼出技术方案的关键创新点，列出1、2、3...，以提醒代理人注意，便于专利代理人撰写权利要求书；</w:t>
            </w:r>
            <w:r>
              <w:rPr>
                <w:rFonts w:ascii="Noto Serif CJK SC" w:hAnsi="Noto Serif CJK SC" w:eastAsia="Noto Serif CJK SC"/>
              </w:rPr>
              <w:br w:type="textWrapping"/>
            </w:r>
            <w:r>
              <w:rPr>
                <w:rFonts w:ascii="Noto Serif CJK SC" w:hAnsi="Noto Serif CJK SC" w:eastAsia="Noto Serif CJK SC"/>
              </w:rPr>
              <w:t>如果有其他替代方案能完成发明目的，请尽量写明，内容的提供可以扩大专利的保护范围，防止他人绕。</w:t>
            </w:r>
            <w:r>
              <w:rPr>
                <w:rFonts w:ascii="Noto Serif CJK SC" w:hAnsi="Noto Serif CJK SC" w:eastAsia="Noto Serif CJK SC"/>
              </w:rPr>
              <w:br w:type="textWrapping"/>
            </w:r>
            <w:r>
              <w:rPr>
                <w:rFonts w:ascii="Noto Serif CJK SC" w:hAnsi="Noto Serif CJK SC" w:eastAsia="Noto Serif CJK SC"/>
              </w:rPr>
              <w:t>【第三版建议填写内容】</w:t>
            </w:r>
            <w:r>
              <w:rPr>
                <w:rFonts w:ascii="Noto Serif CJK SC" w:hAnsi="Noto Serif CJK SC" w:eastAsia="Noto Serif CJK SC"/>
              </w:rPr>
              <w:br w:type="textWrapping"/>
            </w:r>
            <w:r>
              <w:rPr>
                <w:rFonts w:ascii="Noto Serif CJK SC" w:hAnsi="Noto Serif CJK SC" w:eastAsia="Noto Serif CJK SC"/>
              </w:rPr>
              <w:t>一、关键点和欲保护点</w:t>
            </w:r>
            <w:r>
              <w:rPr>
                <w:rFonts w:ascii="Noto Serif CJK SC" w:hAnsi="Noto Serif CJK SC" w:eastAsia="Noto Serif CJK SC"/>
              </w:rPr>
              <w:br w:type="textWrapping"/>
            </w:r>
            <w:r>
              <w:rPr>
                <w:rFonts w:ascii="Noto Serif CJK SC" w:hAnsi="Noto Serif CJK SC" w:eastAsia="Noto Serif CJK SC"/>
              </w:rPr>
              <w:t>1. 在模拟实验室环境中设置一个或多个源，并以卫星通信天线空间参考位置处的场作为中间可观测量的测试/评估框架。</w:t>
            </w:r>
            <w:r>
              <w:rPr>
                <w:rFonts w:ascii="Noto Serif CJK SC" w:hAnsi="Noto Serif CJK SC" w:eastAsia="Noto Serif CJK SC"/>
              </w:rPr>
              <w:br w:type="textWrapping"/>
            </w:r>
            <w:r>
              <w:rPr>
                <w:rFonts w:ascii="Noto Serif CJK SC" w:hAnsi="Noto Serif CJK SC" w:eastAsia="Noto Serif CJK SC"/>
              </w:rPr>
              <w:t>2. 将接收机敏感度、天线系数 AF、转换系数 CF 以及系统修正量统一导入同一仿真流程，实现从场结果到接收机输入信号的自动换算。</w:t>
            </w:r>
            <w:r>
              <w:rPr>
                <w:rFonts w:ascii="Noto Serif CJK SC" w:hAnsi="Noto Serif CJK SC" w:eastAsia="Noto Serif CJK SC"/>
              </w:rPr>
              <w:br w:type="textWrapping"/>
            </w:r>
            <w:r>
              <w:rPr>
                <w:rFonts w:ascii="Noto Serif CJK SC" w:hAnsi="Noto Serif CJK SC" w:eastAsia="Noto Serif CJK SC"/>
              </w:rPr>
              <w:t>3. 将“预测接收机输入信号是否达到接收机敏感度阈值”作为核心判定目标，而不仅仅停留在场分布、方向图或增益结果层面。</w:t>
            </w:r>
            <w:r>
              <w:rPr>
                <w:rFonts w:ascii="Noto Serif CJK SC" w:hAnsi="Noto Serif CJK SC" w:eastAsia="Noto Serif CJK SC"/>
              </w:rPr>
              <w:br w:type="textWrapping"/>
            </w:r>
            <w:r>
              <w:rPr>
                <w:rFonts w:ascii="Noto Serif CJK SC" w:hAnsi="Noto Serif CJK SC" w:eastAsia="Noto Serif CJK SC"/>
              </w:rPr>
              <w:t>4. 支持空间参考位置采用点、面、包络面或体的多种定义方式，并支持峰值、均值、均方根值、面积平均值或极化投影值等不同场统计口径。</w:t>
            </w:r>
            <w:r>
              <w:rPr>
                <w:rFonts w:ascii="Noto Serif CJK SC" w:hAnsi="Noto Serif CJK SC" w:eastAsia="Noto Serif CJK SC"/>
              </w:rPr>
              <w:br w:type="textWrapping"/>
            </w:r>
            <w:r>
              <w:rPr>
                <w:rFonts w:ascii="Noto Serif CJK SC" w:hAnsi="Noto Serif CJK SC" w:eastAsia="Noto Serif CJK SC"/>
              </w:rPr>
              <w:t>5. 支持通过扫描源的位置、极化、朝向、频点和功率自动搜索最差工况。</w:t>
            </w:r>
            <w:r>
              <w:rPr>
                <w:rFonts w:ascii="Noto Serif CJK SC" w:hAnsi="Noto Serif CJK SC" w:eastAsia="Noto Serif CJK SC"/>
              </w:rPr>
              <w:br w:type="textWrapping"/>
            </w:r>
            <w:r>
              <w:rPr>
                <w:rFonts w:ascii="Noto Serif CJK SC" w:hAnsi="Noto Serif CJK SC" w:eastAsia="Noto Serif CJK SC"/>
              </w:rPr>
              <w:t>6. 支持 AF/CF 口径与增益/有效口径口径两种换算路径，从而兼容不同合作方的数据来源和报告格式。</w:t>
            </w:r>
            <w:r>
              <w:rPr>
                <w:rFonts w:ascii="Noto Serif CJK SC" w:hAnsi="Noto Serif CJK SC" w:eastAsia="Noto Serif CJK SC"/>
              </w:rPr>
              <w:br w:type="textWrapping"/>
            </w:r>
            <w:r>
              <w:rPr>
                <w:rFonts w:ascii="Noto Serif CJK SC" w:hAnsi="Noto Serif CJK SC" w:eastAsia="Noto Serif CJK SC"/>
              </w:rPr>
              <w:br w:type="textWrapping"/>
            </w:r>
            <w:r>
              <w:rPr>
                <w:rFonts w:ascii="Noto Serif CJK SC" w:hAnsi="Noto Serif CJK SC" w:eastAsia="Noto Serif CJK SC"/>
              </w:rPr>
              <w:t>二、可替代方案</w:t>
            </w:r>
            <w:r>
              <w:rPr>
                <w:rFonts w:ascii="Noto Serif CJK SC" w:hAnsi="Noto Serif CJK SC" w:eastAsia="Noto Serif CJK SC"/>
              </w:rPr>
              <w:br w:type="textWrapping"/>
            </w:r>
            <w:r>
              <w:rPr>
                <w:rFonts w:ascii="Noto Serif CJK SC" w:hAnsi="Noto Serif CJK SC" w:eastAsia="Noto Serif CJK SC"/>
              </w:rPr>
              <w:t>1. 仿真平台不局限于 CST，也可以部署在 HFSS、FEKO 或其他三维电磁求解平台中；</w:t>
            </w:r>
            <w:r>
              <w:rPr>
                <w:rFonts w:ascii="Noto Serif CJK SC" w:hAnsi="Noto Serif CJK SC" w:eastAsia="Noto Serif CJK SC"/>
              </w:rPr>
              <w:br w:type="textWrapping"/>
            </w:r>
            <w:r>
              <w:rPr>
                <w:rFonts w:ascii="Noto Serif CJK SC" w:hAnsi="Noto Serif CJK SC" w:eastAsia="Noto Serif CJK SC"/>
              </w:rPr>
              <w:t>2. 实验室环境不局限于全电波暗室，也可以是半电波暗室、屏蔽实验室、近场扫描环境或经标定的等效环境；</w:t>
            </w:r>
            <w:r>
              <w:rPr>
                <w:rFonts w:ascii="Noto Serif CJK SC" w:hAnsi="Noto Serif CJK SC" w:eastAsia="Noto Serif CJK SC"/>
              </w:rPr>
              <w:br w:type="textWrapping"/>
            </w:r>
            <w:r>
              <w:rPr>
                <w:rFonts w:ascii="Noto Serif CJK SC" w:hAnsi="Noto Serif CJK SC" w:eastAsia="Noto Serif CJK SC"/>
              </w:rPr>
              <w:t>3. 源不局限于单一发射天线，也可以是平面波源、源阵列、移动源或等效辐射面；</w:t>
            </w:r>
            <w:r>
              <w:rPr>
                <w:rFonts w:ascii="Noto Serif CJK SC" w:hAnsi="Noto Serif CJK SC" w:eastAsia="Noto Serif CJK SC"/>
              </w:rPr>
              <w:br w:type="textWrapping"/>
            </w:r>
            <w:r>
              <w:rPr>
                <w:rFonts w:ascii="Noto Serif CJK SC" w:hAnsi="Noto Serif CJK SC" w:eastAsia="Noto Serif CJK SC"/>
              </w:rPr>
              <w:t>4. 场到接收机信号的换算不局限于 AF/CF 公式，也可以使用功率流密度加有效口径的方式，或其他等效的场到端口换算模型；</w:t>
            </w:r>
            <w:r>
              <w:rPr>
                <w:rFonts w:ascii="Noto Serif CJK SC" w:hAnsi="Noto Serif CJK SC" w:eastAsia="Noto Serif CJK SC"/>
              </w:rPr>
              <w:br w:type="textWrapping"/>
            </w:r>
            <w:r>
              <w:rPr>
                <w:rFonts w:ascii="Noto Serif CJK SC" w:hAnsi="Noto Serif CJK SC" w:eastAsia="Noto Serif CJK SC"/>
              </w:rPr>
              <w:t>5. 判定结果除灵敏度通过/不通过外，还可以扩展输出信噪比、链路裕量、门限余量、风险等级或推荐布置方案。</w:t>
            </w:r>
          </w:p>
        </w:tc>
      </w:tr>
    </w:tbl>
    <w:p w14:paraId="3A3FA178">
      <w:pPr>
        <w:pStyle w:val="17"/>
        <w:rPr>
          <w:rFonts w:ascii="微软雅黑" w:hAnsi="微软雅黑" w:eastAsia="微软雅黑"/>
          <w:sz w:val="21"/>
          <w:szCs w:val="21"/>
        </w:rPr>
      </w:pPr>
      <w:permStart w:id="4" w:edGrp="everyone"/>
      <w:r>
        <w:rPr>
          <w:rFonts w:hint="eastAsia" w:ascii="Noto Serif CJK SC" w:hAnsi="Noto Serif CJK SC" w:eastAsia="Noto Serif CJK SC"/>
          <w:sz w:val="21"/>
          <w:szCs w:val="21"/>
        </w:rPr>
        <w:t xml:space="preserve"> </w:t>
      </w:r>
      <w:r>
        <w:rPr>
          <w:rFonts w:ascii="Noto Serif CJK SC" w:hAnsi="Noto Serif CJK SC" w:eastAsia="Noto Serif CJK SC"/>
          <w:sz w:val="21"/>
          <w:szCs w:val="21"/>
        </w:rPr>
        <w:t xml:space="preserve">   </w:t>
      </w:r>
      <w:permEnd w:id="4"/>
      <w:r>
        <w:rPr>
          <w:rFonts w:ascii="Noto Serif CJK SC" w:hAnsi="Noto Serif CJK SC" w:eastAsia="Noto Serif CJK SC"/>
          <w:sz w:val="21"/>
          <w:szCs w:val="21"/>
        </w:rPr>
        <w:t xml:space="preserve"> </w:t>
      </w:r>
    </w:p>
    <w:p w14:paraId="224631B8">
      <w:pPr>
        <w:pStyle w:val="17"/>
        <w:rPr>
          <w:rFonts w:ascii="微软雅黑" w:hAnsi="微软雅黑" w:eastAsia="微软雅黑"/>
          <w:sz w:val="21"/>
          <w:szCs w:val="21"/>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2552"/>
        <w:gridCol w:w="4110"/>
        <w:gridCol w:w="2256"/>
      </w:tblGrid>
      <w:tr w14:paraId="48C34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6" w:type="dxa"/>
            <w:gridSpan w:val="4"/>
          </w:tcPr>
          <w:p w14:paraId="135522FF">
            <w:pPr>
              <w:pStyle w:val="17"/>
              <w:numPr>
                <w:ilvl w:val="0"/>
                <w:numId w:val="2"/>
              </w:numPr>
              <w:spacing w:after="0" w:line="300" w:lineRule="auto"/>
              <w:rPr>
                <w:rFonts w:ascii="微软雅黑" w:hAnsi="微软雅黑" w:eastAsia="微软雅黑"/>
                <w:b/>
                <w:sz w:val="28"/>
              </w:rPr>
            </w:pPr>
            <w:r>
              <w:rPr>
                <w:rFonts w:hint="eastAsia" w:ascii="Noto Serif CJK SC" w:hAnsi="Noto Serif CJK SC" w:eastAsia="Noto Serif CJK SC"/>
                <w:b/>
                <w:sz w:val="21"/>
              </w:rPr>
              <w:t>查新情况介绍</w:t>
            </w:r>
          </w:p>
        </w:tc>
      </w:tr>
      <w:tr w14:paraId="29A58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3DB4DA6">
            <w:pPr>
              <w:pStyle w:val="17"/>
              <w:spacing w:after="0" w:line="300" w:lineRule="auto"/>
              <w:rPr>
                <w:rFonts w:ascii="微软雅黑" w:hAnsi="微软雅黑" w:eastAsia="微软雅黑"/>
                <w:sz w:val="21"/>
                <w:szCs w:val="21"/>
              </w:rPr>
            </w:pPr>
            <w:r>
              <w:rPr>
                <w:rFonts w:hint="eastAsia" w:ascii="Noto Serif CJK SC" w:hAnsi="Noto Serif CJK SC" w:eastAsia="Noto Serif CJK SC"/>
                <w:sz w:val="21"/>
                <w:szCs w:val="21"/>
              </w:rPr>
              <w:t>查新关键词</w:t>
            </w:r>
          </w:p>
        </w:tc>
        <w:tc>
          <w:tcPr>
            <w:tcW w:w="8918" w:type="dxa"/>
            <w:gridSpan w:val="3"/>
          </w:tcPr>
          <w:p w14:paraId="19CA3068">
            <w:r>
              <w:rPr>
                <w:rFonts w:ascii="Noto Serif CJK SC" w:hAnsi="Noto Serif CJK SC" w:eastAsia="Noto Serif CJK SC"/>
              </w:rPr>
              <w:t>卫星通信天线；实验室环境模拟；空间场；接收机敏感度；天线系数；转换系数；场到端口换算；CST</w:t>
            </w:r>
          </w:p>
        </w:tc>
      </w:tr>
      <w:tr w14:paraId="4F8C3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6" w:type="dxa"/>
            <w:gridSpan w:val="4"/>
          </w:tcPr>
          <w:p w14:paraId="55641A94">
            <w:pPr>
              <w:pStyle w:val="17"/>
              <w:spacing w:after="0" w:line="300" w:lineRule="auto"/>
              <w:rPr>
                <w:rFonts w:ascii="微软雅黑" w:hAnsi="微软雅黑" w:eastAsia="微软雅黑"/>
                <w:sz w:val="21"/>
                <w:szCs w:val="21"/>
              </w:rPr>
            </w:pPr>
            <w:r>
              <w:rPr>
                <w:rFonts w:hint="eastAsia" w:ascii="Noto Serif CJK SC" w:hAnsi="Noto Serif CJK SC" w:eastAsia="Noto Serif CJK SC"/>
                <w:sz w:val="21"/>
                <w:szCs w:val="21"/>
              </w:rPr>
              <w:t>检索结果（应列出至少三项）</w:t>
            </w:r>
          </w:p>
        </w:tc>
      </w:tr>
      <w:tr w14:paraId="5B9C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3429A14">
            <w:pPr>
              <w:pStyle w:val="17"/>
              <w:spacing w:after="0" w:line="300" w:lineRule="auto"/>
              <w:rPr>
                <w:rFonts w:ascii="微软雅黑" w:hAnsi="微软雅黑" w:eastAsia="微软雅黑"/>
                <w:sz w:val="21"/>
                <w:szCs w:val="21"/>
              </w:rPr>
            </w:pPr>
            <w:r>
              <w:rPr>
                <w:rFonts w:hint="eastAsia" w:ascii="Noto Serif CJK SC" w:hAnsi="Noto Serif CJK SC" w:eastAsia="Noto Serif CJK SC"/>
                <w:sz w:val="21"/>
                <w:szCs w:val="21"/>
              </w:rPr>
              <w:t>专利号/论文出处</w:t>
            </w:r>
          </w:p>
        </w:tc>
        <w:tc>
          <w:tcPr>
            <w:tcW w:w="2552" w:type="dxa"/>
          </w:tcPr>
          <w:p w14:paraId="1238A4A2">
            <w:pPr>
              <w:pStyle w:val="17"/>
              <w:spacing w:after="0" w:line="300" w:lineRule="auto"/>
              <w:rPr>
                <w:rFonts w:ascii="微软雅黑" w:hAnsi="微软雅黑" w:eastAsia="微软雅黑"/>
                <w:sz w:val="21"/>
                <w:szCs w:val="21"/>
              </w:rPr>
            </w:pPr>
            <w:r>
              <w:rPr>
                <w:rFonts w:hint="eastAsia" w:ascii="Noto Serif CJK SC" w:hAnsi="Noto Serif CJK SC" w:eastAsia="Noto Serif CJK SC"/>
                <w:sz w:val="21"/>
                <w:szCs w:val="21"/>
              </w:rPr>
              <w:t>专利名称/论文名称</w:t>
            </w:r>
          </w:p>
        </w:tc>
        <w:tc>
          <w:tcPr>
            <w:tcW w:w="4110" w:type="dxa"/>
          </w:tcPr>
          <w:p w14:paraId="335D177C">
            <w:pPr>
              <w:pStyle w:val="17"/>
              <w:spacing w:after="0" w:line="300" w:lineRule="auto"/>
              <w:rPr>
                <w:rFonts w:ascii="微软雅黑" w:hAnsi="微软雅黑" w:eastAsia="微软雅黑"/>
                <w:sz w:val="21"/>
                <w:szCs w:val="21"/>
              </w:rPr>
            </w:pPr>
            <w:r>
              <w:rPr>
                <w:rFonts w:hint="eastAsia" w:ascii="Noto Serif CJK SC" w:hAnsi="Noto Serif CJK SC" w:eastAsia="Noto Serif CJK SC"/>
                <w:sz w:val="21"/>
                <w:szCs w:val="21"/>
              </w:rPr>
              <w:t>技术区别描述（必填）</w:t>
            </w:r>
          </w:p>
        </w:tc>
        <w:tc>
          <w:tcPr>
            <w:tcW w:w="2256" w:type="dxa"/>
          </w:tcPr>
          <w:p w14:paraId="498EDD01">
            <w:pPr>
              <w:pStyle w:val="17"/>
              <w:spacing w:after="0" w:line="300" w:lineRule="auto"/>
              <w:rPr>
                <w:rFonts w:ascii="微软雅黑" w:hAnsi="微软雅黑" w:eastAsia="微软雅黑"/>
                <w:sz w:val="21"/>
                <w:szCs w:val="21"/>
              </w:rPr>
            </w:pPr>
            <w:r>
              <w:rPr>
                <w:rFonts w:hint="eastAsia" w:ascii="Noto Serif CJK SC" w:hAnsi="Noto Serif CJK SC" w:eastAsia="Noto Serif CJK SC"/>
                <w:sz w:val="21"/>
                <w:szCs w:val="21"/>
              </w:rPr>
              <w:t>相关程度(高/中/低)</w:t>
            </w:r>
          </w:p>
        </w:tc>
      </w:tr>
      <w:tr w14:paraId="166A5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F552372">
            <w:r>
              <w:rPr>
                <w:rFonts w:ascii="Noto Serif CJK SC" w:hAnsi="Noto Serif CJK SC" w:eastAsia="Noto Serif CJK SC"/>
              </w:rPr>
              <w:t>JA 3700-MH-3-2022</w:t>
            </w:r>
          </w:p>
        </w:tc>
        <w:tc>
          <w:tcPr>
            <w:tcW w:w="2552" w:type="dxa"/>
          </w:tcPr>
          <w:p w14:paraId="0CDC5B85">
            <w:r>
              <w:rPr>
                <w:rFonts w:ascii="Noto Serif CJK SC" w:hAnsi="Noto Serif CJK SC" w:eastAsia="Noto Serif CJK SC"/>
              </w:rPr>
              <w:t>乘用车电气电子零部件 EMC 技术条件</w:t>
            </w:r>
          </w:p>
        </w:tc>
        <w:tc>
          <w:tcPr>
            <w:tcW w:w="4110" w:type="dxa"/>
          </w:tcPr>
          <w:p w14:paraId="02C9F3AF">
            <w:r>
              <w:rPr>
                <w:rFonts w:ascii="Noto Serif CJK SC" w:hAnsi="Noto Serif CJK SC" w:eastAsia="Noto Serif CJK SC"/>
              </w:rPr>
              <w:t>该标准给出了乘用车电气电子零部件 EMC 试验等级、场地和判定框架，可作为实验室环境和限值口径的参考，但未公开在仿真实验室环境中布置源、提取卫星通信天线空间位置处场并据此推导接收机输入信号的方法。</w:t>
            </w:r>
          </w:p>
        </w:tc>
        <w:tc>
          <w:tcPr>
            <w:tcW w:w="2256" w:type="dxa"/>
          </w:tcPr>
          <w:p w14:paraId="096E310D">
            <w:r>
              <w:rPr>
                <w:rFonts w:ascii="Noto Serif CJK SC" w:hAnsi="Noto Serif CJK SC" w:eastAsia="Noto Serif CJK SC"/>
              </w:rPr>
              <w:t>高</w:t>
            </w:r>
          </w:p>
        </w:tc>
      </w:tr>
      <w:tr w14:paraId="3F13B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094BD99A">
            <w:r>
              <w:rPr>
                <w:rFonts w:ascii="Noto Serif CJK SC" w:hAnsi="Noto Serif CJK SC" w:eastAsia="Noto Serif CJK SC"/>
              </w:rPr>
              <w:t>YD/T 4517.4-2024</w:t>
            </w:r>
          </w:p>
        </w:tc>
        <w:tc>
          <w:tcPr>
            <w:tcW w:w="2552" w:type="dxa"/>
          </w:tcPr>
          <w:p w14:paraId="52A74E6D">
            <w:r>
              <w:rPr>
                <w:rFonts w:ascii="Noto Serif CJK SC" w:hAnsi="Noto Serif CJK SC" w:eastAsia="Noto Serif CJK SC"/>
              </w:rPr>
              <w:t>车联网通信设备电磁兼容性要求和测量方法 第 4 部分：车载卫星通信设备</w:t>
            </w:r>
          </w:p>
        </w:tc>
        <w:tc>
          <w:tcPr>
            <w:tcW w:w="4110" w:type="dxa"/>
          </w:tcPr>
          <w:p w14:paraId="1A3D7302">
            <w:r>
              <w:rPr>
                <w:rFonts w:ascii="Noto Serif CJK SC" w:hAnsi="Noto Serif CJK SC" w:eastAsia="Noto Serif CJK SC"/>
              </w:rPr>
              <w:t>该标准面向车载卫星通信设备的 EMC 要求和测量方法，能够提供适用范围和测试框架，但并未给出利用天线空间位置场结果、天线系数和转换系数直接判断接收机灵敏度是否满足要求的仿真流程。</w:t>
            </w:r>
          </w:p>
        </w:tc>
        <w:tc>
          <w:tcPr>
            <w:tcW w:w="2256" w:type="dxa"/>
          </w:tcPr>
          <w:p w14:paraId="7B90853E">
            <w:r>
              <w:rPr>
                <w:rFonts w:ascii="Noto Serif CJK SC" w:hAnsi="Noto Serif CJK SC" w:eastAsia="Noto Serif CJK SC"/>
              </w:rPr>
              <w:t>高</w:t>
            </w:r>
          </w:p>
        </w:tc>
      </w:tr>
      <w:tr w14:paraId="07C86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465D242">
            <w:r>
              <w:rPr>
                <w:rFonts w:ascii="Noto Serif CJK SC" w:hAnsi="Noto Serif CJK SC" w:eastAsia="Noto Serif CJK SC"/>
              </w:rPr>
              <w:t>CN103692984A</w:t>
            </w:r>
          </w:p>
        </w:tc>
        <w:tc>
          <w:tcPr>
            <w:tcW w:w="2552" w:type="dxa"/>
          </w:tcPr>
          <w:p w14:paraId="119C07B5">
            <w:r>
              <w:rPr>
                <w:rFonts w:ascii="Noto Serif CJK SC" w:hAnsi="Noto Serif CJK SC" w:eastAsia="Noto Serif CJK SC"/>
              </w:rPr>
              <w:t>搭载于车载系统的电磁兼容设计方法</w:t>
            </w:r>
          </w:p>
        </w:tc>
        <w:tc>
          <w:tcPr>
            <w:tcW w:w="4110" w:type="dxa"/>
          </w:tcPr>
          <w:p w14:paraId="5066E22D">
            <w:r>
              <w:rPr>
                <w:rFonts w:ascii="Noto Serif CJK SC" w:hAnsi="Noto Serif CJK SC" w:eastAsia="Noto Serif CJK SC"/>
              </w:rPr>
              <w:t>该专利主要解决车载系统硬件级 EMC 设计问题，重点在滤波、接地、布线和结构设计，不涉及模拟实验室环境中的源布置、空间场提取以及场到接收机信号的换算判定。</w:t>
            </w:r>
          </w:p>
        </w:tc>
        <w:tc>
          <w:tcPr>
            <w:tcW w:w="2256" w:type="dxa"/>
          </w:tcPr>
          <w:p w14:paraId="2BE4943D">
            <w:r>
              <w:rPr>
                <w:rFonts w:ascii="Noto Serif CJK SC" w:hAnsi="Noto Serif CJK SC" w:eastAsia="Noto Serif CJK SC"/>
              </w:rPr>
              <w:t>中</w:t>
            </w:r>
          </w:p>
        </w:tc>
      </w:tr>
      <w:tr w14:paraId="15E0B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1655F9E8">
            <w:r>
              <w:rPr>
                <w:rFonts w:ascii="Noto Serif CJK SC" w:hAnsi="Noto Serif CJK SC" w:eastAsia="Noto Serif CJK SC"/>
              </w:rPr>
              <w:t>CN109239490B</w:t>
            </w:r>
          </w:p>
        </w:tc>
        <w:tc>
          <w:tcPr>
            <w:tcW w:w="2552" w:type="dxa"/>
          </w:tcPr>
          <w:p w14:paraId="686C86AF">
            <w:r>
              <w:rPr>
                <w:rFonts w:ascii="Noto Serif CJK SC" w:hAnsi="Noto Serif CJK SC" w:eastAsia="Noto Serif CJK SC"/>
              </w:rPr>
              <w:t>EMC margin test method of satellite-borne receiver</w:t>
            </w:r>
          </w:p>
        </w:tc>
        <w:tc>
          <w:tcPr>
            <w:tcW w:w="4110" w:type="dxa"/>
          </w:tcPr>
          <w:p w14:paraId="61E2BF58">
            <w:r>
              <w:rPr>
                <w:rFonts w:ascii="Noto Serif CJK SC" w:hAnsi="Noto Serif CJK SC" w:eastAsia="Noto Serif CJK SC"/>
              </w:rPr>
              <w:t>该专利针对星载接收机 EMC 余量测试，其对象为星载接收机，不是面向卫星通信天线实验室环境仿真评估；同时其重点在测试余量方法，而非通过天线空间位置场和天线系数推导接收机信号。</w:t>
            </w:r>
          </w:p>
        </w:tc>
        <w:tc>
          <w:tcPr>
            <w:tcW w:w="2256" w:type="dxa"/>
          </w:tcPr>
          <w:p w14:paraId="45BD098A">
            <w:r>
              <w:rPr>
                <w:rFonts w:ascii="Noto Serif CJK SC" w:hAnsi="Noto Serif CJK SC" w:eastAsia="Noto Serif CJK SC"/>
              </w:rPr>
              <w:t>中</w:t>
            </w:r>
          </w:p>
        </w:tc>
      </w:tr>
    </w:tbl>
    <w:p w14:paraId="144A5233">
      <w:pPr>
        <w:pStyle w:val="17"/>
        <w:rPr>
          <w:rFonts w:ascii="微软雅黑" w:hAnsi="微软雅黑" w:eastAsia="微软雅黑"/>
          <w:sz w:val="21"/>
          <w:szCs w:val="21"/>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56"/>
      </w:tblGrid>
      <w:tr w14:paraId="7735B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6" w:type="dxa"/>
          </w:tcPr>
          <w:p w14:paraId="0B4E0348">
            <w:pPr>
              <w:pStyle w:val="17"/>
              <w:numPr>
                <w:ilvl w:val="0"/>
                <w:numId w:val="2"/>
              </w:numPr>
              <w:spacing w:after="0" w:line="300" w:lineRule="auto"/>
              <w:rPr>
                <w:rFonts w:ascii="微软雅黑" w:hAnsi="微软雅黑" w:eastAsia="微软雅黑"/>
                <w:b/>
                <w:sz w:val="28"/>
              </w:rPr>
            </w:pPr>
            <w:r>
              <w:rPr>
                <w:rFonts w:hint="eastAsia" w:ascii="Noto Serif CJK SC" w:hAnsi="Noto Serif CJK SC" w:eastAsia="Noto Serif CJK SC"/>
                <w:b/>
                <w:sz w:val="21"/>
              </w:rPr>
              <w:t>附图（表）</w:t>
            </w:r>
          </w:p>
        </w:tc>
      </w:tr>
      <w:tr w14:paraId="6C6BE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6" w:type="dxa"/>
          </w:tcPr>
          <w:p w14:paraId="2C236D03">
            <w:r>
              <w:rPr>
                <w:rFonts w:ascii="Noto Serif CJK SC" w:hAnsi="Noto Serif CJK SC" w:eastAsia="Noto Serif CJK SC"/>
              </w:rPr>
              <w:t>书写要点：</w:t>
            </w:r>
            <w:r>
              <w:rPr>
                <w:rFonts w:ascii="Noto Serif CJK SC" w:hAnsi="Noto Serif CJK SC" w:eastAsia="Noto Serif CJK SC"/>
              </w:rPr>
              <w:br w:type="textWrapping"/>
            </w:r>
            <w:r>
              <w:rPr>
                <w:rFonts w:ascii="Noto Serif CJK SC" w:hAnsi="Noto Serif CJK SC" w:eastAsia="Noto Serif CJK SC"/>
              </w:rPr>
              <w:t>在本文档之外，对于本交底书中涉及的图形，技术人员需要提供可编辑图；</w:t>
            </w:r>
            <w:r>
              <w:rPr>
                <w:rFonts w:ascii="Noto Serif CJK SC" w:hAnsi="Noto Serif CJK SC" w:eastAsia="Noto Serif CJK SC"/>
              </w:rPr>
              <w:br w:type="textWrapping"/>
            </w:r>
            <w:r>
              <w:rPr>
                <w:rFonts w:ascii="Noto Serif CJK SC" w:hAnsi="Noto Serif CJK SC" w:eastAsia="Noto Serif CJK SC"/>
              </w:rPr>
              <w:t>机械结构类技术需要单独提供一份可编辑的三维黑白线条图，例如CAD\STG图，且需要对每个部件用附图标记指出，对零件或结构统一编号并命名，如果一幅图不能完全表达本申请技术方案的话，请提供多附图以完整清楚地表达本申请的需要保护的产品的结构,多幅图中表述同一零部件的附图编号要一致；</w:t>
            </w:r>
            <w:r>
              <w:rPr>
                <w:rFonts w:ascii="Noto Serif CJK SC" w:hAnsi="Noto Serif CJK SC" w:eastAsia="Noto Serif CJK SC"/>
              </w:rPr>
              <w:br w:type="textWrapping"/>
            </w:r>
            <w:r>
              <w:rPr>
                <w:rFonts w:ascii="Noto Serif CJK SC" w:hAnsi="Noto Serif CJK SC" w:eastAsia="Noto Serif CJK SC"/>
              </w:rPr>
              <w:t>电学软件通信类技术需要提供可编辑的visio图；</w:t>
            </w:r>
            <w:r>
              <w:rPr>
                <w:rFonts w:ascii="Noto Serif CJK SC" w:hAnsi="Noto Serif CJK SC" w:eastAsia="Noto Serif CJK SC"/>
              </w:rPr>
              <w:br w:type="textWrapping"/>
            </w:r>
            <w:r>
              <w:rPr>
                <w:rFonts w:ascii="Noto Serif CJK SC" w:hAnsi="Noto Serif CJK SC" w:eastAsia="Noto Serif CJK SC"/>
              </w:rPr>
              <w:t>只涉及方法的技术也需要提供可编辑的visio图；</w:t>
            </w:r>
            <w:r>
              <w:rPr>
                <w:rFonts w:ascii="Noto Serif CJK SC" w:hAnsi="Noto Serif CJK SC" w:eastAsia="Noto Serif CJK SC"/>
              </w:rPr>
              <w:br w:type="textWrapping"/>
            </w:r>
            <w:r>
              <w:rPr>
                <w:rFonts w:ascii="Noto Serif CJK SC" w:hAnsi="Noto Serif CJK SC" w:eastAsia="Noto Serif CJK SC"/>
              </w:rPr>
              <w:t>将可编辑图与本交底文件放至一个压缩包里上传到系统中，随交底书一并提供给代理公司。</w:t>
            </w:r>
            <w:r>
              <w:rPr>
                <w:rFonts w:ascii="Noto Serif CJK SC" w:hAnsi="Noto Serif CJK SC" w:eastAsia="Noto Serif CJK SC"/>
              </w:rPr>
              <w:br w:type="textWrapping"/>
            </w:r>
            <w:r>
              <w:rPr>
                <w:rFonts w:ascii="Noto Serif CJK SC" w:hAnsi="Noto Serif CJK SC" w:eastAsia="Noto Serif CJK SC"/>
              </w:rPr>
              <w:t>【第三版建议填写内容】</w:t>
            </w:r>
            <w:r>
              <w:rPr>
                <w:rFonts w:ascii="Noto Serif CJK SC" w:hAnsi="Noto Serif CJK SC" w:eastAsia="Noto Serif CJK SC"/>
              </w:rPr>
              <w:br w:type="textWrapping"/>
            </w:r>
            <w:r>
              <w:rPr>
                <w:rFonts w:ascii="Noto Serif CJK SC" w:hAnsi="Noto Serif CJK SC" w:eastAsia="Noto Serif CJK SC"/>
              </w:rPr>
              <w:t>建议至少提供以下附图（均建议提供可编辑 Visio/draw.io/CAD 源文件）：</w:t>
            </w:r>
            <w:r>
              <w:rPr>
                <w:rFonts w:ascii="Noto Serif CJK SC" w:hAnsi="Noto Serif CJK SC" w:eastAsia="Noto Serif CJK SC"/>
              </w:rPr>
              <w:br w:type="textWrapping"/>
            </w:r>
            <w:r>
              <w:rPr>
                <w:rFonts w:ascii="Noto Serif CJK SC" w:hAnsi="Noto Serif CJK SC" w:eastAsia="Noto Serif CJK SC"/>
              </w:rPr>
              <w:t>图1：卫星通信天线实验室环境模拟测试系统总体框图；</w:t>
            </w:r>
            <w:r>
              <w:rPr>
                <w:rFonts w:ascii="Noto Serif CJK SC" w:hAnsi="Noto Serif CJK SC" w:eastAsia="Noto Serif CJK SC"/>
              </w:rPr>
              <w:br w:type="textWrapping"/>
            </w:r>
            <w:r>
              <w:rPr>
                <w:rFonts w:ascii="Noto Serif CJK SC" w:hAnsi="Noto Serif CJK SC" w:eastAsia="Noto Serif CJK SC"/>
              </w:rPr>
              <w:t>图2：模拟实验室环境布置示意图（环境边界、源、卫星通信天线、坐标轴、相对距离）；</w:t>
            </w:r>
            <w:r>
              <w:rPr>
                <w:rFonts w:ascii="Noto Serif CJK SC" w:hAnsi="Noto Serif CJK SC" w:eastAsia="Noto Serif CJK SC"/>
              </w:rPr>
              <w:br w:type="textWrapping"/>
            </w:r>
            <w:r>
              <w:rPr>
                <w:rFonts w:ascii="Noto Serif CJK SC" w:hAnsi="Noto Serif CJK SC" w:eastAsia="Noto Serif CJK SC"/>
              </w:rPr>
              <w:t>图3：卫星通信天线空间参考位置定义图（相位中心/口径参考面/包络面或包络体）；</w:t>
            </w:r>
            <w:r>
              <w:rPr>
                <w:rFonts w:ascii="Noto Serif CJK SC" w:hAnsi="Noto Serif CJK SC" w:eastAsia="Noto Serif CJK SC"/>
              </w:rPr>
              <w:br w:type="textWrapping"/>
            </w:r>
            <w:r>
              <w:rPr>
                <w:rFonts w:ascii="Noto Serif CJK SC" w:hAnsi="Noto Serif CJK SC" w:eastAsia="Noto Serif CJK SC"/>
              </w:rPr>
              <w:t>图4：源参数、场提取参数和接收机参数的导入关系图；</w:t>
            </w:r>
            <w:r>
              <w:rPr>
                <w:rFonts w:ascii="Noto Serif CJK SC" w:hAnsi="Noto Serif CJK SC" w:eastAsia="Noto Serif CJK SC"/>
              </w:rPr>
              <w:br w:type="textWrapping"/>
            </w:r>
            <w:r>
              <w:rPr>
                <w:rFonts w:ascii="Noto Serif CJK SC" w:hAnsi="Noto Serif CJK SC" w:eastAsia="Noto Serif CJK SC"/>
              </w:rPr>
              <w:t>图5：场到接收机信号换算关系图；</w:t>
            </w:r>
            <w:r>
              <w:rPr>
                <w:rFonts w:ascii="Noto Serif CJK SC" w:hAnsi="Noto Serif CJK SC" w:eastAsia="Noto Serif CJK SC"/>
              </w:rPr>
              <w:br w:type="textWrapping"/>
            </w:r>
            <w:r>
              <w:rPr>
                <w:rFonts w:ascii="Noto Serif CJK SC" w:hAnsi="Noto Serif CJK SC" w:eastAsia="Noto Serif CJK SC"/>
              </w:rPr>
              <w:t>图6：测试方法流程图；</w:t>
            </w:r>
            <w:r>
              <w:rPr>
                <w:rFonts w:ascii="Noto Serif CJK SC" w:hAnsi="Noto Serif CJK SC" w:eastAsia="Noto Serif CJK SC"/>
              </w:rPr>
              <w:br w:type="textWrapping"/>
            </w:r>
            <w:r>
              <w:rPr>
                <w:rFonts w:ascii="Noto Serif CJK SC" w:hAnsi="Noto Serif CJK SC" w:eastAsia="Noto Serif CJK SC"/>
              </w:rPr>
              <w:t>图7：天线空间参考位置处场分布结果示意图；</w:t>
            </w:r>
            <w:r>
              <w:rPr>
                <w:rFonts w:ascii="Noto Serif CJK SC" w:hAnsi="Noto Serif CJK SC" w:eastAsia="Noto Serif CJK SC"/>
              </w:rPr>
              <w:br w:type="textWrapping"/>
            </w:r>
            <w:r>
              <w:rPr>
                <w:rFonts w:ascii="Noto Serif CJK SC" w:hAnsi="Noto Serif CJK SC" w:eastAsia="Noto Serif CJK SC"/>
              </w:rPr>
              <w:t>图8：预测接收机输入功率与接收机敏感度比较图；</w:t>
            </w:r>
            <w:r>
              <w:rPr>
                <w:rFonts w:ascii="Noto Serif CJK SC" w:hAnsi="Noto Serif CJK SC" w:eastAsia="Noto Serif CJK SC"/>
              </w:rPr>
              <w:br w:type="textWrapping"/>
            </w:r>
            <w:r>
              <w:rPr>
                <w:rFonts w:ascii="Noto Serif CJK SC" w:hAnsi="Noto Serif CJK SC" w:eastAsia="Noto Serif CJK SC"/>
              </w:rPr>
              <w:t>图9：最差工况搜索及参数优化示意图。</w:t>
            </w:r>
            <w:r>
              <w:rPr>
                <w:rFonts w:ascii="Noto Serif CJK SC" w:hAnsi="Noto Serif CJK SC" w:eastAsia="Noto Serif CJK SC"/>
              </w:rPr>
              <w:br w:type="textWrapping"/>
            </w:r>
            <w:r>
              <w:rPr>
                <w:rFonts w:ascii="Noto Serif CJK SC" w:hAnsi="Noto Serif CJK SC" w:eastAsia="Noto Serif CJK SC"/>
              </w:rPr>
              <w:br w:type="textWrapping"/>
            </w:r>
            <w:r>
              <w:rPr>
                <w:rFonts w:ascii="Noto Serif CJK SC" w:hAnsi="Noto Serif CJK SC" w:eastAsia="Noto Serif CJK SC"/>
              </w:rPr>
              <w:t>附图标记建议：</w:t>
            </w:r>
            <w:r>
              <w:rPr>
                <w:rFonts w:ascii="Noto Serif CJK SC" w:hAnsi="Noto Serif CJK SC" w:eastAsia="Noto Serif CJK SC"/>
              </w:rPr>
              <w:br w:type="textWrapping"/>
            </w:r>
            <w:r>
              <w:rPr>
                <w:rFonts w:ascii="Noto Serif CJK SC" w:hAnsi="Noto Serif CJK SC" w:eastAsia="Noto Serif CJK SC"/>
              </w:rPr>
              <w:t>1-实验室环境；2-源；3-卫星通信天线；4-空间参考位置；5-场提取模块；6-参数导入模块；7-换算模块；8-灵敏度比较模块；9-结果输出模块；10-最差工况搜索模块。</w:t>
            </w:r>
            <w:r>
              <w:rPr>
                <w:rFonts w:ascii="Noto Serif CJK SC" w:hAnsi="Noto Serif CJK SC" w:eastAsia="Noto Serif CJK SC"/>
              </w:rPr>
              <w:br w:type="textWrapping"/>
            </w:r>
            <w:r>
              <w:rPr>
                <w:rFonts w:ascii="Noto Serif CJK SC" w:hAnsi="Noto Serif CJK SC" w:eastAsia="Noto Serif CJK SC"/>
              </w:rPr>
              <w:br w:type="textWrapping"/>
            </w:r>
            <w:r>
              <w:rPr>
                <w:rFonts w:ascii="Noto Serif CJK SC" w:hAnsi="Noto Serif CJK SC" w:eastAsia="Noto Serif CJK SC"/>
              </w:rPr>
              <w:t>详细图片要求和建议内容见另附《附图清单》。</w:t>
            </w:r>
          </w:p>
        </w:tc>
      </w:tr>
    </w:tbl>
    <w:p w14:paraId="6DA0A783">
      <w:pPr>
        <w:pStyle w:val="17"/>
        <w:rPr>
          <w:rFonts w:ascii="微软雅黑" w:hAnsi="微软雅黑" w:eastAsia="微软雅黑"/>
          <w:sz w:val="21"/>
          <w:szCs w:val="21"/>
        </w:rPr>
      </w:pPr>
      <w:permStart w:id="5" w:edGrp="everyone"/>
      <w:r>
        <w:rPr>
          <w:rFonts w:hint="eastAsia" w:ascii="Noto Serif CJK SC" w:hAnsi="Noto Serif CJK SC" w:eastAsia="Noto Serif CJK SC"/>
          <w:sz w:val="21"/>
          <w:szCs w:val="21"/>
        </w:rPr>
        <w:t xml:space="preserve"> </w:t>
      </w:r>
      <w:r>
        <w:rPr>
          <w:rFonts w:ascii="Noto Serif CJK SC" w:hAnsi="Noto Serif CJK SC" w:eastAsia="Noto Serif CJK SC"/>
          <w:sz w:val="21"/>
          <w:szCs w:val="21"/>
        </w:rPr>
        <w:t xml:space="preserve">   </w:t>
      </w:r>
      <w:permEnd w:id="5"/>
      <w:r>
        <w:rPr>
          <w:rFonts w:ascii="Noto Serif CJK SC" w:hAnsi="Noto Serif CJK SC" w:eastAsia="Noto Serif CJK SC"/>
          <w:sz w:val="21"/>
          <w:szCs w:val="21"/>
        </w:rPr>
        <w:t xml:space="preserve"> </w:t>
      </w:r>
    </w:p>
    <w:p w14:paraId="48F59C24">
      <w:pPr>
        <w:rPr>
          <w:rFonts w:ascii="微软雅黑" w:hAnsi="微软雅黑" w:eastAsia="微软雅黑" w:cs="Times New Roman"/>
          <w:b/>
          <w:kern w:val="28"/>
        </w:rPr>
      </w:pPr>
    </w:p>
    <w:p w14:paraId="6AADB6BB">
      <w:pPr>
        <w:spacing w:before="156" w:beforeLines="50"/>
        <w:rPr>
          <w:rFonts w:ascii="微软雅黑" w:hAnsi="微软雅黑" w:eastAsia="微软雅黑" w:cs="Times New Roman"/>
          <w:b/>
          <w:kern w:val="28"/>
        </w:rPr>
      </w:pPr>
    </w:p>
    <w:p w14:paraId="3FADACAD">
      <w:r>
        <w:rPr>
          <w:rFonts w:ascii="Noto Serif CJK SC" w:hAnsi="Noto Serif CJK SC" w:eastAsia="Noto Serif CJK SC"/>
          <w:sz w:val="21"/>
        </w:rPr>
        <w:br w:type="page"/>
      </w:r>
    </w:p>
    <w:p w14:paraId="33B48A4F">
      <w:r>
        <w:rPr>
          <w:rFonts w:ascii="Noto Serif CJK SC" w:hAnsi="Noto Serif CJK SC" w:eastAsia="Noto Serif CJK SC"/>
        </w:rPr>
        <w:t>本版撰写参考文件（供代理/发明人确认）</w:t>
      </w:r>
    </w:p>
    <w:p w14:paraId="1E73A88C">
      <w:pPr>
        <w:spacing w:after="0" w:line="300" w:lineRule="auto"/>
      </w:pPr>
      <w:r>
        <w:rPr>
          <w:rFonts w:ascii="Noto Serif CJK SC" w:hAnsi="Noto Serif CJK SC" w:eastAsia="Noto Serif CJK SC"/>
        </w:rPr>
        <w:t>1. 《20250912_交底书模板_发明及实用新型.docx》：用于沿用一汽交底书格式和章节结构。</w:t>
      </w:r>
    </w:p>
    <w:p w14:paraId="14C9E555">
      <w:pPr>
        <w:spacing w:after="0" w:line="300" w:lineRule="auto"/>
      </w:pPr>
      <w:r>
        <w:rPr>
          <w:rFonts w:ascii="Noto Serif CJK SC" w:hAnsi="Noto Serif CJK SC" w:eastAsia="Noto Serif CJK SC"/>
        </w:rPr>
        <w:t>2. 《【工创中心】低轨卫星通信系统_总体设计方案(1).docx》：用于补充低轨与 Ku 终端、频段和系统背景信息。</w:t>
      </w:r>
    </w:p>
    <w:p w14:paraId="2403F1FB">
      <w:pPr>
        <w:spacing w:after="0" w:line="300" w:lineRule="auto"/>
      </w:pPr>
      <w:r>
        <w:rPr>
          <w:rFonts w:ascii="Noto Serif CJK SC" w:hAnsi="Noto Serif CJK SC" w:eastAsia="Noto Serif CJK SC"/>
        </w:rPr>
        <w:t>3. 《JA 3700-MH-3乘用车电气电子零部件EMC技术条件-11-3-21pdf.pdf》：用于参考实验室环境、EMC 等级和判定口径。</w:t>
      </w:r>
    </w:p>
    <w:p w14:paraId="2DDFDC6D">
      <w:pPr>
        <w:spacing w:after="0" w:line="300" w:lineRule="auto"/>
      </w:pPr>
      <w:r>
        <w:rPr>
          <w:rFonts w:ascii="Noto Serif CJK SC" w:hAnsi="Noto Serif CJK SC" w:eastAsia="Noto Serif CJK SC"/>
        </w:rPr>
        <w:t>4. 《CST_MWS_培训教程－初级cn.pdf》：用于参考实验室、场监视器、求解与后处理思路。</w:t>
      </w:r>
    </w:p>
    <w:p w14:paraId="68530421">
      <w:pPr>
        <w:spacing w:after="0" w:line="300" w:lineRule="auto"/>
      </w:pPr>
      <w:r>
        <w:rPr>
          <w:rFonts w:ascii="Noto Serif CJK SC" w:hAnsi="Noto Serif CJK SC" w:eastAsia="Noto Serif CJK SC"/>
        </w:rPr>
        <w:t>5. 《CST MWS 培训教程－中级.pdf》：用于参考更复杂的建模、求解和结果处理方式。</w:t>
      </w:r>
    </w:p>
    <w:p w14:paraId="0D47A8AE">
      <w:pPr>
        <w:spacing w:after="0" w:line="300" w:lineRule="auto"/>
      </w:pPr>
      <w:r>
        <w:rPr>
          <w:rFonts w:ascii="Noto Serif CJK SC" w:hAnsi="Noto Serif CJK SC" w:eastAsia="Noto Serif CJK SC"/>
        </w:rPr>
        <w:t>6. 本版交底书的核心创新点已收敛为：在模拟实验室环境中放置源，提取卫星通信天线空间位置处的场，并结合接收机敏感度、天线系数和转换系数推导接收机处信号，再判断是否满足要求。</w:t>
      </w:r>
    </w:p>
    <w:p w14:paraId="1923DC3E">
      <w:pPr>
        <w:spacing w:after="0" w:line="300" w:lineRule="auto"/>
      </w:pPr>
      <w:r>
        <w:rPr>
          <w:rFonts w:ascii="Noto Serif CJK SC" w:hAnsi="Noto Serif CJK SC" w:eastAsia="Noto Serif CJK SC"/>
        </w:rPr>
        <w:t>7. 后续若代理人需要强化公开对比，可继续补充与卫星通信天线测试、场到端口换算、接收机灵敏度评估相关的公开专利和标准。</w:t>
      </w:r>
    </w:p>
    <w:sectPr>
      <w:headerReference r:id="rId3" w:type="default"/>
      <w:footerReference r:id="rId4" w:type="default"/>
      <w:pgSz w:w="11900" w:h="16840"/>
      <w:pgMar w:top="1701" w:right="567" w:bottom="567"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Heiti SC Light">
    <w:altName w:val="Noto Sans SC Thin"/>
    <w:panose1 w:val="020B0404020202010101"/>
    <w:charset w:val="50"/>
    <w:family w:val="auto"/>
    <w:pitch w:val="default"/>
    <w:sig w:usb0="00000000" w:usb1="00000000" w:usb2="00000010" w:usb3="00000000" w:csb0="00040000" w:csb1="00000000"/>
  </w:font>
  <w:font w:name="Noto Sans SC Thin">
    <w:panose1 w:val="020B0200000000000000"/>
    <w:charset w:val="86"/>
    <w:family w:val="auto"/>
    <w:pitch w:val="default"/>
    <w:sig w:usb0="20000083" w:usb1="2ADF3C10" w:usb2="00000016" w:usb3="00000000" w:csb0="60060107" w:csb1="00000000"/>
  </w:font>
  <w:font w:name="微软雅黑">
    <w:panose1 w:val="020B0503020204020204"/>
    <w:charset w:val="86"/>
    <w:family w:val="swiss"/>
    <w:pitch w:val="default"/>
    <w:sig w:usb0="80000287" w:usb1="2ACF3C50" w:usb2="00000016" w:usb3="00000000" w:csb0="0004001F" w:csb1="00000000"/>
  </w:font>
  <w:font w:name="Noto Serif CJK SC">
    <w:altName w:val="宋体"/>
    <w:panose1 w:val="02020400000000000000"/>
    <w:charset w:val="86"/>
    <w:family w:val="auto"/>
    <w:pitch w:val="default"/>
    <w:sig w:usb0="00000000" w:usb1="0000000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2183831"/>
      <w:docPartObj>
        <w:docPartGallery w:val="autotext"/>
      </w:docPartObj>
    </w:sdtPr>
    <w:sdtContent>
      <w:sdt>
        <w:sdtPr>
          <w:id w:val="1728636285"/>
          <w:docPartObj>
            <w:docPartGallery w:val="autotext"/>
          </w:docPartObj>
        </w:sdtPr>
        <w:sdtContent>
          <w:p w14:paraId="55D9E748">
            <w:pPr>
              <w:pStyle w:val="6"/>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4</w:t>
            </w:r>
            <w:r>
              <w:rPr>
                <w:b/>
                <w:bCs/>
                <w:sz w:val="24"/>
                <w:szCs w:val="24"/>
              </w:rPr>
              <w:fldChar w:fldCharType="end"/>
            </w:r>
          </w:p>
        </w:sdtContent>
      </w:sdt>
    </w:sdtContent>
  </w:sdt>
  <w:p w14:paraId="3ABF215F">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2019A">
    <w:pPr>
      <w:pStyle w:val="7"/>
      <w:jc w:val="left"/>
    </w:pPr>
    <w:r>
      <w:rPr>
        <w:rFonts w:hint="eastAsia"/>
      </w:rPr>
      <w:t xml:space="preserve"> </w:t>
    </w:r>
    <w:r>
      <w:t xml:space="preserve">  </w:t>
    </w:r>
    <w:r>
      <w:drawing>
        <wp:inline distT="0" distB="0" distL="0" distR="0">
          <wp:extent cx="1619250" cy="457200"/>
          <wp:effectExtent l="0" t="0" r="0" b="0"/>
          <wp:docPr id="1" name="图片 1" descr="C:\Users\zhangying3\AppData\Roaming\DingTalk\232916823_v2\ImageFiles\1748237191122_D4A35893-2EE2-4f02-A479-07D89C4D5A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hangying3\AppData\Roaming\DingTalk\232916823_v2\ImageFiles\1748237191122_D4A35893-2EE2-4f02-A479-07D89C4D5AFC.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19250" cy="457200"/>
                  </a:xfrm>
                  <a:prstGeom prst="rect">
                    <a:avLst/>
                  </a:prstGeom>
                  <a:noFill/>
                  <a:ln>
                    <a:noFill/>
                  </a:ln>
                </pic:spPr>
              </pic:pic>
            </a:graphicData>
          </a:graphic>
        </wp:inline>
      </w:drawing>
    </w:r>
    <w:r>
      <w:t xml:space="preserve">                                   </w:t>
    </w:r>
    <w:r>
      <w:rPr>
        <w:rFonts w:hint="eastAsia"/>
      </w:rPr>
      <w:t>地址: 中国长春市新红旗大街1号   邮政编码: 130011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6C636D"/>
    <w:multiLevelType w:val="multilevel"/>
    <w:tmpl w:val="466C636D"/>
    <w:lvl w:ilvl="0" w:tentative="0">
      <w:start w:val="1"/>
      <w:numFmt w:val="decimal"/>
      <w:lvlText w:val="%1、"/>
      <w:lvlJc w:val="left"/>
      <w:pPr>
        <w:ind w:left="720" w:hanging="720"/>
      </w:pPr>
      <w:rPr>
        <w:rFonts w:hint="default"/>
        <w:b/>
        <w:sz w:val="28"/>
        <w:szCs w:val="28"/>
      </w:rPr>
    </w:lvl>
    <w:lvl w:ilvl="1" w:tentative="0">
      <w:start w:val="1"/>
      <w:numFmt w:val="decimalEnclosedCircle"/>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7D85DF7"/>
    <w:multiLevelType w:val="multilevel"/>
    <w:tmpl w:val="77D85DF7"/>
    <w:lvl w:ilvl="0" w:tentative="0">
      <w:start w:val="1"/>
      <w:numFmt w:val="decimalEnclosedCircle"/>
      <w:lvlText w:val="%1"/>
      <w:lvlJc w:val="left"/>
      <w:pPr>
        <w:ind w:left="1080" w:hanging="36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dit="readOnly" w:enforcement="0"/>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9A7"/>
    <w:rsid w:val="00014875"/>
    <w:rsid w:val="000352F2"/>
    <w:rsid w:val="000366DA"/>
    <w:rsid w:val="000430E4"/>
    <w:rsid w:val="000A7DB2"/>
    <w:rsid w:val="000E74FE"/>
    <w:rsid w:val="000F35FE"/>
    <w:rsid w:val="000F4CAD"/>
    <w:rsid w:val="00100FC0"/>
    <w:rsid w:val="001035A1"/>
    <w:rsid w:val="00116974"/>
    <w:rsid w:val="001238B0"/>
    <w:rsid w:val="001419BF"/>
    <w:rsid w:val="001520ED"/>
    <w:rsid w:val="0015505C"/>
    <w:rsid w:val="001A75ED"/>
    <w:rsid w:val="00201992"/>
    <w:rsid w:val="00215E70"/>
    <w:rsid w:val="00253744"/>
    <w:rsid w:val="0025632E"/>
    <w:rsid w:val="002C3796"/>
    <w:rsid w:val="002D0B10"/>
    <w:rsid w:val="003635EF"/>
    <w:rsid w:val="003668AA"/>
    <w:rsid w:val="00374986"/>
    <w:rsid w:val="00415C68"/>
    <w:rsid w:val="004366EC"/>
    <w:rsid w:val="00464865"/>
    <w:rsid w:val="00485D4B"/>
    <w:rsid w:val="004B38DC"/>
    <w:rsid w:val="005972D6"/>
    <w:rsid w:val="005C224E"/>
    <w:rsid w:val="00611898"/>
    <w:rsid w:val="00616534"/>
    <w:rsid w:val="0062370E"/>
    <w:rsid w:val="00634865"/>
    <w:rsid w:val="006A6C51"/>
    <w:rsid w:val="006C33E2"/>
    <w:rsid w:val="006C41CA"/>
    <w:rsid w:val="006F426F"/>
    <w:rsid w:val="00794529"/>
    <w:rsid w:val="007B2A7E"/>
    <w:rsid w:val="007C17C4"/>
    <w:rsid w:val="007C6624"/>
    <w:rsid w:val="0081479B"/>
    <w:rsid w:val="00883874"/>
    <w:rsid w:val="008D28D2"/>
    <w:rsid w:val="0094517F"/>
    <w:rsid w:val="0096524D"/>
    <w:rsid w:val="00980246"/>
    <w:rsid w:val="009C33BD"/>
    <w:rsid w:val="009F3271"/>
    <w:rsid w:val="00A13BC6"/>
    <w:rsid w:val="00A549BF"/>
    <w:rsid w:val="00A614D7"/>
    <w:rsid w:val="00A934BD"/>
    <w:rsid w:val="00AE4261"/>
    <w:rsid w:val="00AF2DB4"/>
    <w:rsid w:val="00B229A7"/>
    <w:rsid w:val="00B43357"/>
    <w:rsid w:val="00B720B8"/>
    <w:rsid w:val="00B92E24"/>
    <w:rsid w:val="00BC3F44"/>
    <w:rsid w:val="00BE73D4"/>
    <w:rsid w:val="00C02303"/>
    <w:rsid w:val="00C02CB0"/>
    <w:rsid w:val="00C2263A"/>
    <w:rsid w:val="00C31E36"/>
    <w:rsid w:val="00C46DBE"/>
    <w:rsid w:val="00C54050"/>
    <w:rsid w:val="00D50DA0"/>
    <w:rsid w:val="00D61446"/>
    <w:rsid w:val="00D63A09"/>
    <w:rsid w:val="00D640DD"/>
    <w:rsid w:val="00D94766"/>
    <w:rsid w:val="00E22094"/>
    <w:rsid w:val="00E71D88"/>
    <w:rsid w:val="00E7354B"/>
    <w:rsid w:val="00E85229"/>
    <w:rsid w:val="00EA7B8A"/>
    <w:rsid w:val="00EA7FB3"/>
    <w:rsid w:val="00ED6870"/>
    <w:rsid w:val="00EE3108"/>
    <w:rsid w:val="00EE5A7F"/>
    <w:rsid w:val="00EE6A8C"/>
    <w:rsid w:val="00EF3646"/>
    <w:rsid w:val="00F058F8"/>
    <w:rsid w:val="00F438A9"/>
    <w:rsid w:val="00FB1BAD"/>
    <w:rsid w:val="00FD28B1"/>
    <w:rsid w:val="00FE2FCA"/>
    <w:rsid w:val="02B2759A"/>
    <w:rsid w:val="0E710C77"/>
    <w:rsid w:val="2B416DA0"/>
    <w:rsid w:val="7D7BAB7A"/>
    <w:rsid w:val="C7FF96AB"/>
    <w:rsid w:val="FF9FA1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6"/>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0"/>
    <w:semiHidden/>
    <w:unhideWhenUsed/>
    <w:uiPriority w:val="99"/>
    <w:pPr>
      <w:jc w:val="left"/>
    </w:pPr>
  </w:style>
  <w:style w:type="paragraph" w:styleId="4">
    <w:name w:val="Body Text Indent"/>
    <w:basedOn w:val="1"/>
    <w:link w:val="19"/>
    <w:unhideWhenUsed/>
    <w:uiPriority w:val="99"/>
    <w:pPr>
      <w:spacing w:after="120"/>
      <w:ind w:left="420" w:leftChars="200"/>
    </w:pPr>
    <w:rPr>
      <w:rFonts w:ascii="楷体_GB2312" w:hAnsi="华文楷体" w:eastAsia="楷体_GB2312" w:cs="Times New Roman"/>
      <w:kern w:val="28"/>
      <w:sz w:val="28"/>
    </w:rPr>
  </w:style>
  <w:style w:type="paragraph" w:styleId="5">
    <w:name w:val="Balloon Text"/>
    <w:basedOn w:val="1"/>
    <w:link w:val="13"/>
    <w:semiHidden/>
    <w:unhideWhenUsed/>
    <w:qFormat/>
    <w:uiPriority w:val="99"/>
    <w:rPr>
      <w:rFonts w:ascii="Heiti SC Light" w:eastAsia="Heiti SC Light"/>
      <w:sz w:val="18"/>
      <w:szCs w:val="18"/>
    </w:r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21"/>
    <w:semiHidden/>
    <w:unhideWhenUsed/>
    <w:uiPriority w:val="99"/>
    <w:rPr>
      <w:b/>
      <w:bCs/>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annotation reference"/>
    <w:basedOn w:val="11"/>
    <w:semiHidden/>
    <w:unhideWhenUsed/>
    <w:qFormat/>
    <w:uiPriority w:val="99"/>
    <w:rPr>
      <w:sz w:val="21"/>
      <w:szCs w:val="21"/>
    </w:rPr>
  </w:style>
  <w:style w:type="character" w:customStyle="1" w:styleId="13">
    <w:name w:val="批注框文本 字符"/>
    <w:basedOn w:val="11"/>
    <w:link w:val="5"/>
    <w:semiHidden/>
    <w:qFormat/>
    <w:uiPriority w:val="99"/>
    <w:rPr>
      <w:rFonts w:ascii="Heiti SC Light" w:eastAsia="Heiti SC Light"/>
      <w:sz w:val="18"/>
      <w:szCs w:val="18"/>
    </w:rPr>
  </w:style>
  <w:style w:type="character" w:customStyle="1" w:styleId="14">
    <w:name w:val="页眉 字符"/>
    <w:basedOn w:val="11"/>
    <w:link w:val="7"/>
    <w:uiPriority w:val="99"/>
    <w:rPr>
      <w:sz w:val="18"/>
      <w:szCs w:val="18"/>
    </w:rPr>
  </w:style>
  <w:style w:type="character" w:customStyle="1" w:styleId="15">
    <w:name w:val="页脚 字符"/>
    <w:basedOn w:val="11"/>
    <w:link w:val="6"/>
    <w:qFormat/>
    <w:uiPriority w:val="99"/>
    <w:rPr>
      <w:sz w:val="18"/>
      <w:szCs w:val="18"/>
    </w:rPr>
  </w:style>
  <w:style w:type="character" w:customStyle="1" w:styleId="16">
    <w:name w:val="标题 1 字符"/>
    <w:basedOn w:val="11"/>
    <w:link w:val="2"/>
    <w:qFormat/>
    <w:uiPriority w:val="9"/>
    <w:rPr>
      <w:rFonts w:ascii="宋体" w:hAnsi="宋体" w:eastAsia="宋体" w:cs="宋体"/>
      <w:b/>
      <w:bCs/>
      <w:kern w:val="36"/>
      <w:sz w:val="48"/>
      <w:szCs w:val="48"/>
    </w:rPr>
  </w:style>
  <w:style w:type="paragraph" w:customStyle="1" w:styleId="17">
    <w:name w:val="????????¡§????????????¡§?????????????¨¬??????????¡§?????????¡§???????????¡§????o????????????¨¬??????????¡§?????????¡§????"/>
    <w:basedOn w:val="1"/>
    <w:qFormat/>
    <w:uiPriority w:val="0"/>
    <w:pPr>
      <w:widowControl/>
      <w:overflowPunct w:val="0"/>
      <w:autoSpaceDE w:val="0"/>
      <w:autoSpaceDN w:val="0"/>
      <w:adjustRightInd w:val="0"/>
      <w:jc w:val="left"/>
      <w:textAlignment w:val="baseline"/>
    </w:pPr>
    <w:rPr>
      <w:rFonts w:ascii="Times New Roman" w:hAnsi="Times New Roman" w:eastAsia="宋体" w:cs="Times New Roman"/>
      <w:kern w:val="0"/>
      <w:szCs w:val="20"/>
    </w:rPr>
  </w:style>
  <w:style w:type="character" w:customStyle="1" w:styleId="18">
    <w:name w:val="正文文本缩进 字符"/>
    <w:basedOn w:val="11"/>
    <w:semiHidden/>
    <w:uiPriority w:val="99"/>
  </w:style>
  <w:style w:type="character" w:customStyle="1" w:styleId="19">
    <w:name w:val="正文文本缩进 字符1"/>
    <w:link w:val="4"/>
    <w:uiPriority w:val="99"/>
    <w:rPr>
      <w:rFonts w:ascii="楷体_GB2312" w:hAnsi="华文楷体" w:eastAsia="楷体_GB2312" w:cs="Times New Roman"/>
      <w:kern w:val="28"/>
      <w:sz w:val="28"/>
    </w:rPr>
  </w:style>
  <w:style w:type="character" w:customStyle="1" w:styleId="20">
    <w:name w:val="批注文字 字符"/>
    <w:basedOn w:val="11"/>
    <w:link w:val="3"/>
    <w:semiHidden/>
    <w:uiPriority w:val="99"/>
  </w:style>
  <w:style w:type="character" w:customStyle="1" w:styleId="21">
    <w:name w:val="批注主题 字符"/>
    <w:basedOn w:val="20"/>
    <w:link w:val="8"/>
    <w:semiHidden/>
    <w:qFormat/>
    <w:uiPriority w:val="99"/>
    <w:rPr>
      <w:b/>
      <w:bCs/>
    </w:rPr>
  </w:style>
  <w:style w:type="paragraph" w:customStyle="1" w:styleId="22">
    <w:name w:val="修订1"/>
    <w:hidden/>
    <w:semiHidden/>
    <w:qFormat/>
    <w:uiPriority w:val="99"/>
    <w:rPr>
      <w:rFonts w:asciiTheme="minorHAnsi" w:hAnsiTheme="minorHAnsi" w:eastAsiaTheme="minorEastAsia" w:cstheme="minorBidi"/>
      <w:kern w:val="2"/>
      <w:sz w:val="24"/>
      <w:szCs w:val="24"/>
      <w:lang w:val="en-US" w:eastAsia="zh-CN" w:bidi="ar-SA"/>
    </w:rPr>
  </w:style>
  <w:style w:type="paragraph" w:styleId="2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D6EE05F7-B60F-4062-99C9-744A39AD972C}">
  <ds:schemaRefs/>
</ds:datastoreItem>
</file>

<file path=docProps/app.xml><?xml version="1.0" encoding="utf-8"?>
<Properties xmlns="http://schemas.openxmlformats.org/officeDocument/2006/extended-properties" xmlns:vt="http://schemas.openxmlformats.org/officeDocument/2006/docPropsVTypes">
  <Pages>8</Pages>
  <Words>2027</Words>
  <Characters>2094</Characters>
  <Lines>14</Lines>
  <Paragraphs>3</Paragraphs>
  <TotalTime>23</TotalTime>
  <ScaleCrop>false</ScaleCrop>
  <LinksUpToDate>false</LinksUpToDate>
  <CharactersWithSpaces>2126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2023-10-10T15:24:00Z</dcterms:created>
  <dc:creator>M mac</dc:creator>
  <cp:lastModifiedBy>morty</cp:lastModifiedBy>
  <dcterms:modified xsi:type="dcterms:W3CDTF">2026-03-18T08:48:19Z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eyJoZGlkIjoiODNlMjY5OTUwMmExMDkzYjVlMWIxNDdjOGQzNWVjN2QiLCJ1c2VySWQiOiIyMzg1ODE4MDcifQ==</vt:lpwstr>
  </property>
  <property fmtid="{D5CDD505-2E9C-101B-9397-08002B2CF9AE}" pid="3" name="KSOProductBuildVer">
    <vt:lpwstr>2052-12.1.0.25225</vt:lpwstr>
  </property>
  <property fmtid="{D5CDD505-2E9C-101B-9397-08002B2CF9AE}" pid="4" name="ICV">
    <vt:lpwstr>AF3BD552E1B741E4A79F128948E9BBC9_13</vt:lpwstr>
  </property>
</Properties>
</file>