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2969B">
      <w:pPr>
        <w:jc w:val="center"/>
      </w:pPr>
      <w:bookmarkStart w:id="0" w:name="_GoBack"/>
      <w:bookmarkEnd w:id="0"/>
      <w:r>
        <w:rPr>
          <w:rFonts w:ascii="黑体" w:hAnsi="黑体" w:eastAsia="黑体"/>
          <w:b/>
          <w:sz w:val="36"/>
        </w:rPr>
        <w:t>卫星通信天线的实验室环境模拟测试系统</w:t>
      </w:r>
      <w:r>
        <w:rPr>
          <w:rFonts w:ascii="黑体" w:hAnsi="黑体" w:eastAsia="黑体"/>
          <w:b/>
          <w:sz w:val="36"/>
        </w:rPr>
        <w:br w:type="textWrapping"/>
      </w:r>
      <w:r>
        <w:rPr>
          <w:rFonts w:ascii="黑体" w:hAnsi="黑体" w:eastAsia="黑体"/>
          <w:b/>
          <w:sz w:val="36"/>
        </w:rPr>
        <w:t>附图清单（优化重绘版）</w:t>
      </w:r>
    </w:p>
    <w:p w14:paraId="5673A4BA">
      <w:pPr>
        <w:jc w:val="center"/>
      </w:pPr>
      <w:r>
        <w:t>配套《一种卫星通信天线的实验室环境模拟测试系统及方法》交底书使用。</w:t>
      </w:r>
    </w:p>
    <w:p w14:paraId="37E220F4">
      <w:pPr>
        <w:spacing w:after="120"/>
      </w:pPr>
      <w:r>
        <w:t>说明：本版按照黑白线条专利附图规范进行重绘建议，统一采用部件编号一致的表达方式。</w:t>
      </w:r>
    </w:p>
    <w:p w14:paraId="3A30BF77">
      <w:pPr>
        <w:spacing w:after="120"/>
      </w:pPr>
      <w:r>
        <w:t>统一附图标记建议：1-实验室环境建模模块/实验室环境；2-源；3-卫星通信天线；4-空间采样区域；5-三维电磁求解模块；6-等效接收信号反演模块；7-灵敏度判定模块；8-报告输出与优化模块；21-源极化方向；31-安装载体/支架；41-包络面；42-采样点；43-采样线；44-天线相位中心。</w:t>
      </w:r>
    </w:p>
    <w:p w14:paraId="420DA703">
      <w:pPr>
        <w:spacing w:after="120"/>
      </w:pPr>
      <w:r>
        <w:t>公式统一建议：Peq(dBm) = Erep(dBuV/m) - AF(dB/m) + Kconv(dB) - Lsys(dB)；Margin(dB) = Peq(dBm) - Ssens(dBm)。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EF8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AB72CEF">
            <w:pPr>
              <w:spacing w:after="0" w:line="264" w:lineRule="auto"/>
              <w:jc w:val="center"/>
            </w:pPr>
            <w:r>
              <w:t>图号</w:t>
            </w:r>
          </w:p>
        </w:tc>
        <w:tc>
          <w:tcPr>
            <w:tcW w:w="1949" w:type="dxa"/>
            <w:vAlign w:val="center"/>
          </w:tcPr>
          <w:p w14:paraId="4F6B6BDF">
            <w:pPr>
              <w:spacing w:after="0" w:line="264" w:lineRule="auto"/>
              <w:jc w:val="center"/>
            </w:pPr>
            <w:r>
              <w:t>图名</w:t>
            </w:r>
          </w:p>
        </w:tc>
        <w:tc>
          <w:tcPr>
            <w:tcW w:w="1949" w:type="dxa"/>
            <w:vAlign w:val="center"/>
          </w:tcPr>
          <w:p w14:paraId="6C962744">
            <w:pPr>
              <w:spacing w:after="0" w:line="264" w:lineRule="auto"/>
              <w:jc w:val="left"/>
            </w:pPr>
            <w:r>
              <w:t>图中核心内容</w:t>
            </w:r>
          </w:p>
        </w:tc>
        <w:tc>
          <w:tcPr>
            <w:tcW w:w="1949" w:type="dxa"/>
            <w:vAlign w:val="center"/>
          </w:tcPr>
          <w:p w14:paraId="2DDE5B9C">
            <w:pPr>
              <w:spacing w:after="0" w:line="264" w:lineRule="auto"/>
              <w:jc w:val="left"/>
            </w:pPr>
            <w:r>
              <w:t>绘制要求</w:t>
            </w:r>
          </w:p>
        </w:tc>
        <w:tc>
          <w:tcPr>
            <w:tcW w:w="1949" w:type="dxa"/>
            <w:vAlign w:val="center"/>
          </w:tcPr>
          <w:p w14:paraId="0D81A5B2">
            <w:pPr>
              <w:spacing w:after="0" w:line="264" w:lineRule="auto"/>
              <w:jc w:val="left"/>
            </w:pPr>
            <w:r>
              <w:t>备注</w:t>
            </w:r>
          </w:p>
        </w:tc>
      </w:tr>
      <w:tr w14:paraId="29EC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25CDA551">
            <w:pPr>
              <w:spacing w:after="0" w:line="264" w:lineRule="auto"/>
              <w:jc w:val="center"/>
            </w:pPr>
            <w:r>
              <w:t>图1</w:t>
            </w:r>
          </w:p>
        </w:tc>
        <w:tc>
          <w:tcPr>
            <w:tcW w:w="1949" w:type="dxa"/>
            <w:vAlign w:val="center"/>
          </w:tcPr>
          <w:p w14:paraId="7545BC00">
            <w:pPr>
              <w:spacing w:after="0" w:line="264" w:lineRule="auto"/>
              <w:jc w:val="center"/>
            </w:pPr>
            <w:r>
              <w:t>系统总体架构图</w:t>
            </w:r>
          </w:p>
        </w:tc>
        <w:tc>
          <w:tcPr>
            <w:tcW w:w="1949" w:type="dxa"/>
            <w:vAlign w:val="center"/>
          </w:tcPr>
          <w:p w14:paraId="772CDC2E">
            <w:pPr>
              <w:spacing w:after="0" w:line="264" w:lineRule="auto"/>
              <w:jc w:val="left"/>
            </w:pPr>
            <w:r>
              <w:t>环境建模、源建模、空间采样、三维电磁求解、等效接收信号反演、灵敏度判定、报告输出与优化之间的连接关系。</w:t>
            </w:r>
          </w:p>
        </w:tc>
        <w:tc>
          <w:tcPr>
            <w:tcW w:w="1949" w:type="dxa"/>
            <w:vAlign w:val="center"/>
          </w:tcPr>
          <w:p w14:paraId="30125E92">
            <w:pPr>
              <w:spacing w:after="0" w:line="264" w:lineRule="auto"/>
              <w:jc w:val="left"/>
            </w:pPr>
            <w:r>
              <w:t>Visio框图；箭头体现处理顺序；可在连线旁标注输入/输出。</w:t>
            </w:r>
          </w:p>
        </w:tc>
        <w:tc>
          <w:tcPr>
            <w:tcW w:w="1949" w:type="dxa"/>
            <w:vAlign w:val="center"/>
          </w:tcPr>
          <w:p w14:paraId="1BF74DC0">
            <w:pPr>
              <w:spacing w:after="0" w:line="264" w:lineRule="auto"/>
              <w:jc w:val="left"/>
            </w:pPr>
            <w:r>
              <w:t>建议作为摘要附图。</w:t>
            </w:r>
          </w:p>
        </w:tc>
      </w:tr>
      <w:tr w14:paraId="0789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364F6FEE">
            <w:pPr>
              <w:spacing w:after="0" w:line="264" w:lineRule="auto"/>
              <w:jc w:val="center"/>
            </w:pPr>
            <w:r>
              <w:t>图2</w:t>
            </w:r>
          </w:p>
        </w:tc>
        <w:tc>
          <w:tcPr>
            <w:tcW w:w="1949" w:type="dxa"/>
            <w:vAlign w:val="center"/>
          </w:tcPr>
          <w:p w14:paraId="758E1289">
            <w:pPr>
              <w:spacing w:after="0" w:line="264" w:lineRule="auto"/>
              <w:jc w:val="center"/>
            </w:pPr>
            <w:r>
              <w:t>实验室环境模拟测试总体布局图</w:t>
            </w:r>
          </w:p>
        </w:tc>
        <w:tc>
          <w:tcPr>
            <w:tcW w:w="1949" w:type="dxa"/>
            <w:vAlign w:val="center"/>
          </w:tcPr>
          <w:p w14:paraId="6817E91F">
            <w:pPr>
              <w:spacing w:after="0" w:line="264" w:lineRule="auto"/>
              <w:jc w:val="left"/>
            </w:pPr>
            <w:r>
              <w:t>实验室边界、吸波面/金属地面、源、卫星通信天线、安装载体、支架、坐标方向及距离关系。</w:t>
            </w:r>
          </w:p>
        </w:tc>
        <w:tc>
          <w:tcPr>
            <w:tcW w:w="1949" w:type="dxa"/>
            <w:vAlign w:val="center"/>
          </w:tcPr>
          <w:p w14:paraId="40F17292">
            <w:pPr>
              <w:spacing w:after="0" w:line="264" w:lineRule="auto"/>
              <w:jc w:val="left"/>
            </w:pPr>
            <w:r>
              <w:t>建议同时给出主视图和俯视图；采用黑白线条。</w:t>
            </w:r>
          </w:p>
        </w:tc>
        <w:tc>
          <w:tcPr>
            <w:tcW w:w="1949" w:type="dxa"/>
            <w:vAlign w:val="center"/>
          </w:tcPr>
          <w:p w14:paraId="0593AB26">
            <w:pPr>
              <w:spacing w:after="0" w:line="264" w:lineRule="auto"/>
              <w:jc w:val="left"/>
            </w:pPr>
            <w:r>
              <w:t>必须。</w:t>
            </w:r>
          </w:p>
        </w:tc>
      </w:tr>
      <w:tr w14:paraId="554A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4C520BC0">
            <w:pPr>
              <w:spacing w:after="0" w:line="264" w:lineRule="auto"/>
              <w:jc w:val="center"/>
            </w:pPr>
            <w:r>
              <w:t>图3</w:t>
            </w:r>
          </w:p>
        </w:tc>
        <w:tc>
          <w:tcPr>
            <w:tcW w:w="1949" w:type="dxa"/>
            <w:vAlign w:val="center"/>
          </w:tcPr>
          <w:p w14:paraId="7661E46B">
            <w:pPr>
              <w:spacing w:after="0" w:line="264" w:lineRule="auto"/>
              <w:jc w:val="center"/>
            </w:pPr>
            <w:r>
              <w:t>源与卫星通信天线空间位置关系图</w:t>
            </w:r>
          </w:p>
        </w:tc>
        <w:tc>
          <w:tcPr>
            <w:tcW w:w="1949" w:type="dxa"/>
            <w:vAlign w:val="center"/>
          </w:tcPr>
          <w:p w14:paraId="7CD0C923">
            <w:pPr>
              <w:spacing w:after="0" w:line="264" w:lineRule="auto"/>
              <w:jc w:val="left"/>
            </w:pPr>
            <w:r>
              <w:t>源到天线的距离r、方位角φ、俯仰角θ、极化方向以及天线安装位。</w:t>
            </w:r>
          </w:p>
        </w:tc>
        <w:tc>
          <w:tcPr>
            <w:tcW w:w="1949" w:type="dxa"/>
            <w:vAlign w:val="center"/>
          </w:tcPr>
          <w:p w14:paraId="694E3F0A">
            <w:pPr>
              <w:spacing w:after="0" w:line="264" w:lineRule="auto"/>
              <w:jc w:val="left"/>
            </w:pPr>
            <w:r>
              <w:t>三维坐标示意；明确极化方向。</w:t>
            </w:r>
          </w:p>
        </w:tc>
        <w:tc>
          <w:tcPr>
            <w:tcW w:w="1949" w:type="dxa"/>
            <w:vAlign w:val="center"/>
          </w:tcPr>
          <w:p w14:paraId="638139AC">
            <w:pPr>
              <w:spacing w:after="0" w:line="264" w:lineRule="auto"/>
              <w:jc w:val="left"/>
            </w:pPr>
            <w:r>
              <w:t>必须。</w:t>
            </w:r>
          </w:p>
        </w:tc>
      </w:tr>
      <w:tr w14:paraId="79C0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E8FCFD9">
            <w:pPr>
              <w:spacing w:after="0" w:line="264" w:lineRule="auto"/>
              <w:jc w:val="center"/>
            </w:pPr>
            <w:r>
              <w:t>图4</w:t>
            </w:r>
          </w:p>
        </w:tc>
        <w:tc>
          <w:tcPr>
            <w:tcW w:w="1949" w:type="dxa"/>
            <w:vAlign w:val="center"/>
          </w:tcPr>
          <w:p w14:paraId="0DCB221A">
            <w:pPr>
              <w:spacing w:after="0" w:line="264" w:lineRule="auto"/>
              <w:jc w:val="center"/>
            </w:pPr>
            <w:r>
              <w:t>空间采样区域定义图</w:t>
            </w:r>
          </w:p>
        </w:tc>
        <w:tc>
          <w:tcPr>
            <w:tcW w:w="1949" w:type="dxa"/>
            <w:vAlign w:val="center"/>
          </w:tcPr>
          <w:p w14:paraId="3163FD01">
            <w:pPr>
              <w:spacing w:after="0" w:line="264" w:lineRule="auto"/>
              <w:jc w:val="left"/>
            </w:pPr>
            <w:r>
              <w:t>天线相位中心、包络面、采样点/采样线/采样面的定义方式。</w:t>
            </w:r>
          </w:p>
        </w:tc>
        <w:tc>
          <w:tcPr>
            <w:tcW w:w="1949" w:type="dxa"/>
            <w:vAlign w:val="center"/>
          </w:tcPr>
          <w:p w14:paraId="299B5ED4">
            <w:pPr>
              <w:spacing w:after="0" w:line="264" w:lineRule="auto"/>
              <w:jc w:val="left"/>
            </w:pPr>
            <w:r>
              <w:t>宜带局部放大图。</w:t>
            </w:r>
          </w:p>
        </w:tc>
        <w:tc>
          <w:tcPr>
            <w:tcW w:w="1949" w:type="dxa"/>
            <w:vAlign w:val="center"/>
          </w:tcPr>
          <w:p w14:paraId="64443BD5">
            <w:pPr>
              <w:spacing w:after="0" w:line="264" w:lineRule="auto"/>
              <w:jc w:val="left"/>
            </w:pPr>
            <w:r>
              <w:t>关键附图。</w:t>
            </w:r>
          </w:p>
        </w:tc>
      </w:tr>
      <w:tr w14:paraId="080B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6D142728">
            <w:pPr>
              <w:spacing w:after="0" w:line="264" w:lineRule="auto"/>
              <w:jc w:val="center"/>
            </w:pPr>
            <w:r>
              <w:t>图5</w:t>
            </w:r>
          </w:p>
        </w:tc>
        <w:tc>
          <w:tcPr>
            <w:tcW w:w="1949" w:type="dxa"/>
            <w:vAlign w:val="center"/>
          </w:tcPr>
          <w:p w14:paraId="62B83926">
            <w:pPr>
              <w:spacing w:after="0" w:line="264" w:lineRule="auto"/>
              <w:jc w:val="center"/>
            </w:pPr>
            <w:r>
              <w:t>代表场强提取示意图</w:t>
            </w:r>
          </w:p>
        </w:tc>
        <w:tc>
          <w:tcPr>
            <w:tcW w:w="1949" w:type="dxa"/>
            <w:vAlign w:val="center"/>
          </w:tcPr>
          <w:p w14:paraId="08822F0D">
            <w:pPr>
              <w:spacing w:after="0" w:line="264" w:lineRule="auto"/>
              <w:jc w:val="left"/>
            </w:pPr>
            <w:r>
              <w:t>场分布示意及代表场强Erep的提取规则，如最大值、平均值、加权平均值、最不利值。</w:t>
            </w:r>
          </w:p>
        </w:tc>
        <w:tc>
          <w:tcPr>
            <w:tcW w:w="1949" w:type="dxa"/>
            <w:vAlign w:val="center"/>
          </w:tcPr>
          <w:p w14:paraId="05D15E94">
            <w:pPr>
              <w:spacing w:after="0" w:line="264" w:lineRule="auto"/>
              <w:jc w:val="left"/>
            </w:pPr>
            <w:r>
              <w:t>避免彩色截图；用等值线/疏密线表示。</w:t>
            </w:r>
          </w:p>
        </w:tc>
        <w:tc>
          <w:tcPr>
            <w:tcW w:w="1949" w:type="dxa"/>
            <w:vAlign w:val="center"/>
          </w:tcPr>
          <w:p w14:paraId="0DD91529">
            <w:pPr>
              <w:spacing w:after="0" w:line="264" w:lineRule="auto"/>
              <w:jc w:val="left"/>
            </w:pPr>
            <w:r>
              <w:t>关键附图。</w:t>
            </w:r>
          </w:p>
        </w:tc>
      </w:tr>
      <w:tr w14:paraId="2CFC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6B1B63A2">
            <w:pPr>
              <w:spacing w:after="0" w:line="264" w:lineRule="auto"/>
              <w:jc w:val="center"/>
            </w:pPr>
            <w:r>
              <w:t>图6</w:t>
            </w:r>
          </w:p>
        </w:tc>
        <w:tc>
          <w:tcPr>
            <w:tcW w:w="1949" w:type="dxa"/>
            <w:vAlign w:val="center"/>
          </w:tcPr>
          <w:p w14:paraId="7CF18017">
            <w:pPr>
              <w:spacing w:after="0" w:line="264" w:lineRule="auto"/>
              <w:jc w:val="center"/>
            </w:pPr>
            <w:r>
              <w:t>场强到接收机等效输入信号换算流程图</w:t>
            </w:r>
          </w:p>
        </w:tc>
        <w:tc>
          <w:tcPr>
            <w:tcW w:w="1949" w:type="dxa"/>
            <w:vAlign w:val="center"/>
          </w:tcPr>
          <w:p w14:paraId="083E8AF0">
            <w:pPr>
              <w:spacing w:after="0" w:line="264" w:lineRule="auto"/>
              <w:jc w:val="left"/>
            </w:pPr>
            <w:r>
              <w:t>Erep、AF、Kconv、Lsys、Veq、Peq、Ssens、Margin之间的运算关系和关键公式。</w:t>
            </w:r>
          </w:p>
        </w:tc>
        <w:tc>
          <w:tcPr>
            <w:tcW w:w="1949" w:type="dxa"/>
            <w:vAlign w:val="center"/>
          </w:tcPr>
          <w:p w14:paraId="55D98FD1">
            <w:pPr>
              <w:spacing w:after="0" w:line="264" w:lineRule="auto"/>
              <w:jc w:val="left"/>
            </w:pPr>
            <w:r>
              <w:t>必须采用减AF、减Lsys的统一公式。</w:t>
            </w:r>
          </w:p>
        </w:tc>
        <w:tc>
          <w:tcPr>
            <w:tcW w:w="1949" w:type="dxa"/>
            <w:vAlign w:val="center"/>
          </w:tcPr>
          <w:p w14:paraId="28D51D87">
            <w:pPr>
              <w:spacing w:after="0" w:line="264" w:lineRule="auto"/>
              <w:jc w:val="left"/>
            </w:pPr>
            <w:r>
              <w:t>关键附图。</w:t>
            </w:r>
          </w:p>
        </w:tc>
      </w:tr>
      <w:tr w14:paraId="0085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7CCB0EC7">
            <w:pPr>
              <w:spacing w:after="0" w:line="264" w:lineRule="auto"/>
              <w:jc w:val="center"/>
            </w:pPr>
            <w:r>
              <w:t>图7</w:t>
            </w:r>
          </w:p>
        </w:tc>
        <w:tc>
          <w:tcPr>
            <w:tcW w:w="1949" w:type="dxa"/>
            <w:vAlign w:val="center"/>
          </w:tcPr>
          <w:p w14:paraId="456F121D">
            <w:pPr>
              <w:spacing w:after="0" w:line="264" w:lineRule="auto"/>
              <w:jc w:val="center"/>
            </w:pPr>
            <w:r>
              <w:t>灵敏度判定流程图</w:t>
            </w:r>
          </w:p>
        </w:tc>
        <w:tc>
          <w:tcPr>
            <w:tcW w:w="1949" w:type="dxa"/>
            <w:vAlign w:val="center"/>
          </w:tcPr>
          <w:p w14:paraId="79EA362C">
            <w:pPr>
              <w:spacing w:after="0" w:line="264" w:lineRule="auto"/>
              <w:jc w:val="left"/>
            </w:pPr>
            <w:r>
              <w:t>参数输入、求解、提取、换算、比较、通过/不通过输出的完整判定流程。</w:t>
            </w:r>
          </w:p>
        </w:tc>
        <w:tc>
          <w:tcPr>
            <w:tcW w:w="1949" w:type="dxa"/>
            <w:vAlign w:val="center"/>
          </w:tcPr>
          <w:p w14:paraId="56C53457">
            <w:pPr>
              <w:spacing w:after="0" w:line="264" w:lineRule="auto"/>
              <w:jc w:val="left"/>
            </w:pPr>
            <w:r>
              <w:t>标准流程图符号。</w:t>
            </w:r>
          </w:p>
        </w:tc>
        <w:tc>
          <w:tcPr>
            <w:tcW w:w="1949" w:type="dxa"/>
            <w:vAlign w:val="center"/>
          </w:tcPr>
          <w:p w14:paraId="3351FE5A">
            <w:pPr>
              <w:spacing w:after="0" w:line="264" w:lineRule="auto"/>
              <w:jc w:val="left"/>
            </w:pPr>
            <w:r>
              <w:t>适合作为方法配图。</w:t>
            </w:r>
          </w:p>
        </w:tc>
      </w:tr>
      <w:tr w14:paraId="627F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A10E3C7">
            <w:pPr>
              <w:spacing w:after="0" w:line="264" w:lineRule="auto"/>
              <w:jc w:val="center"/>
            </w:pPr>
            <w:r>
              <w:t>图8</w:t>
            </w:r>
          </w:p>
        </w:tc>
        <w:tc>
          <w:tcPr>
            <w:tcW w:w="1949" w:type="dxa"/>
            <w:vAlign w:val="center"/>
          </w:tcPr>
          <w:p w14:paraId="7DAD34FF">
            <w:pPr>
              <w:spacing w:after="0" w:line="264" w:lineRule="auto"/>
              <w:jc w:val="center"/>
            </w:pPr>
            <w:r>
              <w:t>参数扫描与最不利工况输出图</w:t>
            </w:r>
          </w:p>
        </w:tc>
        <w:tc>
          <w:tcPr>
            <w:tcW w:w="1949" w:type="dxa"/>
            <w:vAlign w:val="center"/>
          </w:tcPr>
          <w:p w14:paraId="11C6C9CE">
            <w:pPr>
              <w:spacing w:after="0" w:line="264" w:lineRule="auto"/>
              <w:jc w:val="left"/>
            </w:pPr>
            <w:r>
              <w:t>源位置扫描、安装位置扫描、极化扫描及最不利工况标识。</w:t>
            </w:r>
          </w:p>
        </w:tc>
        <w:tc>
          <w:tcPr>
            <w:tcW w:w="1949" w:type="dxa"/>
            <w:vAlign w:val="center"/>
          </w:tcPr>
          <w:p w14:paraId="565C98C3">
            <w:pPr>
              <w:spacing w:after="0" w:line="264" w:lineRule="auto"/>
              <w:jc w:val="left"/>
            </w:pPr>
            <w:r>
              <w:t>可采用曲线图或表格示意。</w:t>
            </w:r>
          </w:p>
        </w:tc>
        <w:tc>
          <w:tcPr>
            <w:tcW w:w="1949" w:type="dxa"/>
            <w:vAlign w:val="center"/>
          </w:tcPr>
          <w:p w14:paraId="08A533E9">
            <w:pPr>
              <w:spacing w:after="0" w:line="264" w:lineRule="auto"/>
              <w:jc w:val="left"/>
            </w:pPr>
            <w:r>
              <w:t>建议。</w:t>
            </w:r>
          </w:p>
        </w:tc>
      </w:tr>
      <w:tr w14:paraId="6527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60C6439E">
            <w:pPr>
              <w:spacing w:after="0" w:line="264" w:lineRule="auto"/>
              <w:jc w:val="center"/>
            </w:pPr>
            <w:r>
              <w:t>图9</w:t>
            </w:r>
          </w:p>
        </w:tc>
        <w:tc>
          <w:tcPr>
            <w:tcW w:w="1949" w:type="dxa"/>
            <w:vAlign w:val="center"/>
          </w:tcPr>
          <w:p w14:paraId="222916D5">
            <w:pPr>
              <w:spacing w:after="0" w:line="264" w:lineRule="auto"/>
              <w:jc w:val="center"/>
            </w:pPr>
            <w:r>
              <w:t>替代实施方式示意图</w:t>
            </w:r>
          </w:p>
        </w:tc>
        <w:tc>
          <w:tcPr>
            <w:tcW w:w="1949" w:type="dxa"/>
            <w:vAlign w:val="center"/>
          </w:tcPr>
          <w:p w14:paraId="50D83057">
            <w:pPr>
              <w:spacing w:after="0" w:line="264" w:lineRule="auto"/>
              <w:jc w:val="left"/>
            </w:pPr>
            <w:r>
              <w:t>不同源形式、不同安装载体的替代实施方案。</w:t>
            </w:r>
          </w:p>
        </w:tc>
        <w:tc>
          <w:tcPr>
            <w:tcW w:w="1949" w:type="dxa"/>
            <w:vAlign w:val="center"/>
          </w:tcPr>
          <w:p w14:paraId="4F15A7CE">
            <w:pPr>
              <w:spacing w:after="0" w:line="264" w:lineRule="auto"/>
              <w:jc w:val="left"/>
            </w:pPr>
            <w:r>
              <w:t>多子图组合；部件编号保持一致。</w:t>
            </w:r>
          </w:p>
        </w:tc>
        <w:tc>
          <w:tcPr>
            <w:tcW w:w="1949" w:type="dxa"/>
            <w:vAlign w:val="center"/>
          </w:tcPr>
          <w:p w14:paraId="7C466780">
            <w:pPr>
              <w:spacing w:after="0" w:line="264" w:lineRule="auto"/>
              <w:jc w:val="left"/>
            </w:pPr>
            <w:r>
              <w:t>建议。</w:t>
            </w:r>
          </w:p>
        </w:tc>
      </w:tr>
      <w:tr w14:paraId="60C2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4078DA73">
            <w:pPr>
              <w:spacing w:after="0" w:line="264" w:lineRule="auto"/>
              <w:jc w:val="center"/>
            </w:pPr>
            <w:r>
              <w:t>图10</w:t>
            </w:r>
          </w:p>
        </w:tc>
        <w:tc>
          <w:tcPr>
            <w:tcW w:w="1949" w:type="dxa"/>
            <w:vAlign w:val="center"/>
          </w:tcPr>
          <w:p w14:paraId="5342DBBE">
            <w:pPr>
              <w:spacing w:after="0" w:line="264" w:lineRule="auto"/>
              <w:jc w:val="center"/>
            </w:pPr>
            <w:r>
              <w:t>输出报告页面示意图</w:t>
            </w:r>
          </w:p>
        </w:tc>
        <w:tc>
          <w:tcPr>
            <w:tcW w:w="1949" w:type="dxa"/>
            <w:vAlign w:val="center"/>
          </w:tcPr>
          <w:p w14:paraId="3663D6D5">
            <w:pPr>
              <w:spacing w:after="0" w:line="264" w:lineRule="auto"/>
              <w:jc w:val="left"/>
            </w:pPr>
            <w:r>
              <w:t>频点、场强、等效输入信号、灵敏度、裕量、判定结果等表格化输出。</w:t>
            </w:r>
          </w:p>
        </w:tc>
        <w:tc>
          <w:tcPr>
            <w:tcW w:w="1949" w:type="dxa"/>
            <w:vAlign w:val="center"/>
          </w:tcPr>
          <w:p w14:paraId="7A285605">
            <w:pPr>
              <w:spacing w:after="0" w:line="264" w:lineRule="auto"/>
              <w:jc w:val="left"/>
            </w:pPr>
            <w:r>
              <w:t>采用黑白表格；放示例数据。</w:t>
            </w:r>
          </w:p>
        </w:tc>
        <w:tc>
          <w:tcPr>
            <w:tcW w:w="1949" w:type="dxa"/>
            <w:vAlign w:val="center"/>
          </w:tcPr>
          <w:p w14:paraId="348F614A">
            <w:pPr>
              <w:spacing w:after="0" w:line="264" w:lineRule="auto"/>
              <w:jc w:val="left"/>
            </w:pPr>
            <w:r>
              <w:t>可选。</w:t>
            </w:r>
          </w:p>
        </w:tc>
      </w:tr>
    </w:tbl>
    <w:p w14:paraId="47D0654E">
      <w:pPr>
        <w:spacing w:before="200"/>
      </w:pPr>
      <w:r>
        <w:rPr>
          <w:b/>
        </w:rPr>
        <w:t>提交建议：</w:t>
      </w:r>
      <w:r>
        <w:t>正式提交时可优先提供 VSDX 源文件；当前交付包含可编辑 SVG 矢量图和 PNG 预览图，SVG 可直接导入 Visio 进一步编辑。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B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974</Words>
  <Characters>1108</Characters>
  <Lines>0</Lines>
  <Paragraphs>0</Paragraphs>
  <TotalTime>0</TotalTime>
  <ScaleCrop>false</ScaleCrop>
  <LinksUpToDate>false</LinksUpToDate>
  <CharactersWithSpaces>1129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2026-03-18T09:13:42Z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2EB206AEBA984B279D45123011F4BB20_13</vt:lpwstr>
  </property>
</Properties>
</file>