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车载低轨卫星通信系统emc正向设计规范"/>
    <w:p>
      <w:pPr>
        <w:pStyle w:val="Heading1"/>
      </w:pPr>
      <w:r>
        <w:t xml:space="preserve">车载低轨卫星通信系统EMC正向设计规范</w:t>
      </w:r>
    </w:p>
    <w:bookmarkStart w:id="20" w:name="专利技术与标准条款对照文件"/>
    <w:p>
      <w:pPr>
        <w:pStyle w:val="Heading2"/>
      </w:pPr>
      <w:r>
        <w:t xml:space="preserve">专利技术与标准条款对照文件</w:t>
      </w:r>
    </w:p>
    <w:p>
      <w:r>
        <w:pict>
          <v:rect style="width:0;height:1.5pt" o:hralign="center" o:hrstd="t" o:hr="t"/>
        </w:pict>
      </w:r>
    </w:p>
    <w:p>
      <w:pPr>
        <w:pStyle w:val="FirstParagraph"/>
      </w:pPr>
      <w:r>
        <w:rPr>
          <w:bCs/>
          <w:b/>
        </w:rPr>
        <w:t xml:space="preserve">文件编号</w:t>
      </w:r>
      <w:r>
        <w:t xml:space="preserve">：Q/FC XXX-2025-DC</w:t>
      </w:r>
    </w:p>
    <w:p>
      <w:pPr>
        <w:pStyle w:val="BodyText"/>
      </w:pPr>
      <w:r>
        <w:rPr>
          <w:bCs/>
          <w:b/>
        </w:rPr>
        <w:t xml:space="preserve">编制单位</w:t>
      </w:r>
      <w:r>
        <w:t xml:space="preserve">：中国第一汽车股份有限公司智能网联研究院</w:t>
      </w:r>
    </w:p>
    <w:p>
      <w:pPr>
        <w:pStyle w:val="BodyText"/>
      </w:pPr>
      <w:r>
        <w:rPr>
          <w:bCs/>
          <w:b/>
        </w:rPr>
        <w:t xml:space="preserve">编制日期</w:t>
      </w:r>
      <w:r>
        <w:t xml:space="preserve">：2025年</w:t>
      </w:r>
    </w:p>
    <w:p>
      <w:r>
        <w:pict>
          <v:rect style="width:0;height:1.5pt" o:hralign="center" o:hrstd="t" o:hr="t"/>
        </w:pict>
      </w:r>
    </w:p>
    <w:bookmarkEnd w:id="20"/>
    <w:bookmarkStart w:id="21" w:name="目-次"/>
    <w:p>
      <w:pPr>
        <w:pStyle w:val="Heading2"/>
      </w:pPr>
      <w:r>
        <w:t xml:space="preserve">目 次</w:t>
      </w:r>
    </w:p>
    <w:p>
      <w:pPr>
        <w:pStyle w:val="FirstParagraph"/>
      </w:pPr>
      <w:r>
        <w:t xml:space="preserve">1 概述</w:t>
      </w:r>
    </w:p>
    <w:p>
      <w:pPr>
        <w:pStyle w:val="BodyText"/>
      </w:pPr>
      <w:r>
        <w:t xml:space="preserve">2 专利技术对照表</w:t>
      </w:r>
    </w:p>
    <w:p>
      <w:pPr>
        <w:pStyle w:val="BodyText"/>
      </w:pPr>
      <w:r>
        <w:t xml:space="preserve">3 标准条款对照表</w:t>
      </w:r>
    </w:p>
    <w:p>
      <w:pPr>
        <w:pStyle w:val="BodyText"/>
      </w:pPr>
      <w:r>
        <w:t xml:space="preserve">4 详细对照分析</w:t>
      </w:r>
    </w:p>
    <w:p>
      <w:pPr>
        <w:pStyle w:val="BodyText"/>
      </w:pPr>
      <w:r>
        <w:t xml:space="preserve">附录A 专利原文摘录</w:t>
      </w:r>
    </w:p>
    <w:p>
      <w:pPr>
        <w:pStyle w:val="BodyText"/>
      </w:pPr>
      <w:r>
        <w:t xml:space="preserve">附录B 标准原文摘录</w:t>
      </w:r>
    </w:p>
    <w:p>
      <w:r>
        <w:pict>
          <v:rect style="width:0;height:1.5pt" o:hralign="center" o:hrstd="t" o:hr="t"/>
        </w:pict>
      </w:r>
    </w:p>
    <w:bookmarkEnd w:id="21"/>
    <w:bookmarkStart w:id="25" w:name="概述"/>
    <w:p>
      <w:pPr>
        <w:pStyle w:val="Heading2"/>
      </w:pPr>
      <w:r>
        <w:t xml:space="preserve">1 概述</w:t>
      </w:r>
    </w:p>
    <w:bookmarkStart w:id="22" w:name="编制目的"/>
    <w:p>
      <w:pPr>
        <w:pStyle w:val="Heading3"/>
      </w:pPr>
      <w:r>
        <w:t xml:space="preserve">1.1 编制目的</w:t>
      </w:r>
    </w:p>
    <w:p>
      <w:pPr>
        <w:pStyle w:val="FirstParagraph"/>
      </w:pPr>
      <w:r>
        <w:t xml:space="preserve">本对照文件旨在建立《车载低轨卫星通信系统EMC性能正向设计规范》（以下简称”本规范”）与相关专利技术、行业标准之间的对应关系，确保规范中所有技术内容均有明确来源，便于后续标准实施、专利许可及技术追溯。</w:t>
      </w:r>
    </w:p>
    <w:bookmarkEnd w:id="22"/>
    <w:bookmarkStart w:id="23" w:name="对照范围"/>
    <w:p>
      <w:pPr>
        <w:pStyle w:val="Heading3"/>
      </w:pPr>
      <w:r>
        <w:t xml:space="preserve">1.2 对照范围</w:t>
      </w:r>
    </w:p>
    <w:p>
      <w:pPr>
        <w:pStyle w:val="FirstParagraph"/>
      </w:pPr>
      <w:r>
        <w:t xml:space="preserve">本对照文件涵盖以下内容的对应关系：</w:t>
      </w:r>
    </w:p>
    <w:p>
      <w:pPr>
        <w:numPr>
          <w:ilvl w:val="0"/>
          <w:numId w:val="1001"/>
        </w:numPr>
      </w:pPr>
      <w:r>
        <w:t xml:space="preserve">15项相关专利技术</w:t>
      </w:r>
    </w:p>
    <w:p>
      <w:pPr>
        <w:numPr>
          <w:ilvl w:val="0"/>
          <w:numId w:val="1001"/>
        </w:numPr>
      </w:pPr>
      <w:r>
        <w:t xml:space="preserve">9项国家/行业标准</w:t>
      </w:r>
    </w:p>
    <w:p>
      <w:pPr>
        <w:numPr>
          <w:ilvl w:val="0"/>
          <w:numId w:val="1001"/>
        </w:numPr>
      </w:pPr>
      <w:r>
        <w:t xml:space="preserve">1项技术研究方案</w:t>
      </w:r>
    </w:p>
    <w:bookmarkEnd w:id="23"/>
    <w:bookmarkStart w:id="24" w:name="对照方式"/>
    <w:p>
      <w:pPr>
        <w:pStyle w:val="Heading3"/>
      </w:pPr>
      <w:r>
        <w:t xml:space="preserve">1.3 对照方式</w:t>
      </w:r>
    </w:p>
    <w:p>
      <w:pPr>
        <w:pStyle w:val="FirstParagraph"/>
      </w:pPr>
      <w:r>
        <w:t xml:space="preserve">本文件采用表格对照与原文摘录相结合的方式，明确标注规范条款的技术来源。</w:t>
      </w:r>
    </w:p>
    <w:p>
      <w:r>
        <w:pict>
          <v:rect style="width:0;height:1.5pt" o:hralign="center" o:hrstd="t" o:hr="t"/>
        </w:pict>
      </w:r>
    </w:p>
    <w:bookmarkEnd w:id="24"/>
    <w:bookmarkEnd w:id="25"/>
    <w:bookmarkStart w:id="31" w:name="专利技术对照表"/>
    <w:p>
      <w:pPr>
        <w:pStyle w:val="Heading2"/>
      </w:pPr>
      <w:r>
        <w:t xml:space="preserve">2 专利技术对照表</w:t>
      </w:r>
    </w:p>
    <w:bookmarkStart w:id="26" w:name="一汽集团专利"/>
    <w:p>
      <w:pPr>
        <w:pStyle w:val="Heading3"/>
      </w:pPr>
      <w:r>
        <w:t xml:space="preserve">2.1 一汽集团专利</w:t>
      </w:r>
    </w:p>
    <w:tbl>
      <w:tblPr>
        <w:tblStyle w:val="Table"/>
        <w:tblW w:type="pct" w:w="5000"/>
        <w:tblLook w:firstRow="1" w:lastRow="0" w:firstColumn="0" w:lastColumn="0" w:noHBand="0" w:noVBand="0" w:val="0020"/>
      </w:tblPr>
      <w:tblGrid>
        <w:gridCol w:w="698"/>
        <w:gridCol w:w="931"/>
        <w:gridCol w:w="1164"/>
        <w:gridCol w:w="1164"/>
        <w:gridCol w:w="1630"/>
        <w:gridCol w:w="1164"/>
        <w:gridCol w:w="1164"/>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c>
          <w:tcPr/>
          <w:p>
            <w:pPr>
              <w:pStyle w:val="Compact"/>
              <w:jc w:val="left"/>
            </w:pPr>
            <w:r>
              <w:t xml:space="preserve">引用方式</w:t>
            </w:r>
          </w:p>
        </w:tc>
      </w:tr>
      <w:tr>
        <w:tc>
          <w:tcPr/>
          <w:p>
            <w:pPr>
              <w:pStyle w:val="Compact"/>
              <w:jc w:val="left"/>
            </w:pPr>
            <w:r>
              <w:t xml:space="preserve">1</w:t>
            </w:r>
          </w:p>
        </w:tc>
        <w:tc>
          <w:tcPr/>
          <w:p>
            <w:pPr>
              <w:pStyle w:val="Compact"/>
              <w:jc w:val="left"/>
            </w:pPr>
            <w:r>
              <w:t xml:space="preserve">CN202410892217.1</w:t>
            </w:r>
          </w:p>
        </w:tc>
        <w:tc>
          <w:tcPr/>
          <w:p>
            <w:pPr>
              <w:pStyle w:val="Compact"/>
              <w:jc w:val="left"/>
            </w:pPr>
            <w:r>
              <w:t xml:space="preserve">车辆卫星定位的控制方法、装置、设备、存储介质及产品</w:t>
            </w:r>
          </w:p>
        </w:tc>
        <w:tc>
          <w:tcPr/>
          <w:p>
            <w:pPr>
              <w:pStyle w:val="Compact"/>
              <w:jc w:val="left"/>
            </w:pPr>
            <w:r>
              <w:t xml:space="preserve">中国第一汽车股份有限公司</w:t>
            </w:r>
          </w:p>
        </w:tc>
        <w:tc>
          <w:tcPr/>
          <w:p>
            <w:pPr>
              <w:pStyle w:val="Compact"/>
              <w:jc w:val="left"/>
            </w:pPr>
            <w:r>
              <w:t xml:space="preserve">5.1.2 自干扰规避设计要求</w:t>
            </w:r>
          </w:p>
        </w:tc>
        <w:tc>
          <w:tcPr/>
          <w:p>
            <w:pPr>
              <w:pStyle w:val="Compact"/>
              <w:jc w:val="left"/>
            </w:pPr>
            <w:r>
              <w:t xml:space="preserve">卫星定位状态管理、时域隔离</w:t>
            </w:r>
          </w:p>
        </w:tc>
        <w:tc>
          <w:tcPr/>
          <w:p>
            <w:pPr>
              <w:pStyle w:val="Compact"/>
              <w:jc w:val="left"/>
            </w:pPr>
            <w:r>
              <w:t xml:space="preserve">直接引用</w:t>
            </w:r>
          </w:p>
        </w:tc>
      </w:tr>
      <w:tr>
        <w:tc>
          <w:tcPr/>
          <w:p>
            <w:pPr>
              <w:pStyle w:val="Compact"/>
              <w:jc w:val="left"/>
            </w:pPr>
            <w:r>
              <w:t xml:space="preserve">2</w:t>
            </w:r>
          </w:p>
        </w:tc>
        <w:tc>
          <w:tcPr/>
          <w:p>
            <w:pPr>
              <w:pStyle w:val="Compact"/>
              <w:jc w:val="left"/>
            </w:pPr>
            <w:r>
              <w:t xml:space="preserve">CN202510556745.4</w:t>
            </w:r>
          </w:p>
        </w:tc>
        <w:tc>
          <w:tcPr/>
          <w:p>
            <w:pPr>
              <w:pStyle w:val="Compact"/>
              <w:jc w:val="left"/>
            </w:pPr>
            <w:r>
              <w:t xml:space="preserve">基于卫星通信的车联网数据压缩方法、装置、设备和介质</w:t>
            </w:r>
          </w:p>
        </w:tc>
        <w:tc>
          <w:tcPr/>
          <w:p>
            <w:pPr>
              <w:pStyle w:val="Compact"/>
              <w:jc w:val="left"/>
            </w:pPr>
            <w:r>
              <w:t xml:space="preserve">一汽解放汽车有限公司</w:t>
            </w:r>
          </w:p>
        </w:tc>
        <w:tc>
          <w:tcPr/>
          <w:p>
            <w:pPr>
              <w:pStyle w:val="Compact"/>
              <w:jc w:val="left"/>
            </w:pPr>
            <w:r>
              <w:t xml:space="preserve">未直接引用</w:t>
            </w:r>
          </w:p>
        </w:tc>
        <w:tc>
          <w:tcPr/>
          <w:p>
            <w:pPr>
              <w:pStyle w:val="Compact"/>
              <w:jc w:val="left"/>
            </w:pPr>
            <w:r>
              <w:t xml:space="preserve">车联网数据压缩</w:t>
            </w:r>
          </w:p>
        </w:tc>
        <w:tc>
          <w:tcPr/>
          <w:p>
            <w:pPr>
              <w:pStyle w:val="Compact"/>
              <w:jc w:val="left"/>
            </w:pPr>
            <w:r>
              <w:t xml:space="preserve">参考</w:t>
            </w:r>
          </w:p>
        </w:tc>
      </w:tr>
    </w:tbl>
    <w:bookmarkEnd w:id="26"/>
    <w:bookmarkStart w:id="27" w:name="吉利集团专利"/>
    <w:p>
      <w:pPr>
        <w:pStyle w:val="Heading3"/>
      </w:pPr>
      <w:r>
        <w:t xml:space="preserve">2.2 吉利集团专利</w:t>
      </w:r>
    </w:p>
    <w:tbl>
      <w:tblPr>
        <w:tblStyle w:val="Table"/>
        <w:tblW w:type="pct" w:w="5000"/>
        <w:tblLook w:firstRow="1" w:lastRow="0" w:firstColumn="0" w:lastColumn="0" w:noHBand="0" w:noVBand="0" w:val="0020"/>
      </w:tblPr>
      <w:tblGrid>
        <w:gridCol w:w="698"/>
        <w:gridCol w:w="931"/>
        <w:gridCol w:w="1164"/>
        <w:gridCol w:w="1164"/>
        <w:gridCol w:w="1630"/>
        <w:gridCol w:w="1164"/>
        <w:gridCol w:w="1164"/>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c>
          <w:tcPr/>
          <w:p>
            <w:pPr>
              <w:pStyle w:val="Compact"/>
              <w:jc w:val="left"/>
            </w:pPr>
            <w:r>
              <w:t xml:space="preserve">引用方式</w:t>
            </w:r>
          </w:p>
        </w:tc>
      </w:tr>
      <w:tr>
        <w:tc>
          <w:tcPr/>
          <w:p>
            <w:pPr>
              <w:pStyle w:val="Compact"/>
              <w:jc w:val="left"/>
            </w:pPr>
            <w:r>
              <w:t xml:space="preserve">3</w:t>
            </w:r>
          </w:p>
        </w:tc>
        <w:tc>
          <w:tcPr/>
          <w:p>
            <w:pPr>
              <w:pStyle w:val="Compact"/>
              <w:jc w:val="left"/>
            </w:pPr>
            <w:r>
              <w:t xml:space="preserve">CN202411085031.1</w:t>
            </w:r>
          </w:p>
        </w:tc>
        <w:tc>
          <w:tcPr/>
          <w:p>
            <w:pPr>
              <w:pStyle w:val="Compact"/>
              <w:jc w:val="left"/>
            </w:pPr>
            <w:r>
              <w:t xml:space="preserve">车辆通信方法、装置、终端设备以及存储介质</w:t>
            </w:r>
          </w:p>
        </w:tc>
        <w:tc>
          <w:tcPr/>
          <w:p>
            <w:pPr>
              <w:pStyle w:val="Compact"/>
              <w:jc w:val="left"/>
            </w:pPr>
            <w:r>
              <w:t xml:space="preserve">浙江极氪智能科技有限公司、浙江吉利控股集团有限公司</w:t>
            </w:r>
          </w:p>
        </w:tc>
        <w:tc>
          <w:tcPr/>
          <w:p>
            <w:pPr>
              <w:pStyle w:val="Compact"/>
              <w:jc w:val="left"/>
            </w:pPr>
            <w:r>
              <w:t xml:space="preserve">5.2.1 网络切换管理</w:t>
            </w:r>
          </w:p>
        </w:tc>
        <w:tc>
          <w:tcPr/>
          <w:p>
            <w:pPr>
              <w:pStyle w:val="Compact"/>
              <w:jc w:val="left"/>
            </w:pPr>
            <w:r>
              <w:t xml:space="preserve">卫星短信通信、应急通信</w:t>
            </w:r>
          </w:p>
        </w:tc>
        <w:tc>
          <w:tcPr/>
          <w:p>
            <w:pPr>
              <w:pStyle w:val="Compact"/>
              <w:jc w:val="left"/>
            </w:pPr>
            <w:r>
              <w:t xml:space="preserve">直接引用</w:t>
            </w:r>
          </w:p>
        </w:tc>
      </w:tr>
      <w:tr>
        <w:tc>
          <w:tcPr/>
          <w:p>
            <w:pPr>
              <w:pStyle w:val="Compact"/>
              <w:jc w:val="left"/>
            </w:pPr>
            <w:r>
              <w:t xml:space="preserve">4</w:t>
            </w:r>
          </w:p>
        </w:tc>
        <w:tc>
          <w:tcPr/>
          <w:p>
            <w:pPr>
              <w:pStyle w:val="Compact"/>
              <w:jc w:val="left"/>
            </w:pPr>
            <w:r>
              <w:t xml:space="preserve">CN202410300178.1</w:t>
            </w:r>
          </w:p>
        </w:tc>
        <w:tc>
          <w:tcPr/>
          <w:p>
            <w:pPr>
              <w:pStyle w:val="Compact"/>
              <w:jc w:val="left"/>
            </w:pPr>
            <w:r>
              <w:t xml:space="preserve">基于卫星的通信方法、装置、设备及存储介质</w:t>
            </w:r>
          </w:p>
        </w:tc>
        <w:tc>
          <w:tcPr/>
          <w:p>
            <w:pPr>
              <w:pStyle w:val="Compact"/>
              <w:jc w:val="left"/>
            </w:pPr>
            <w:r>
              <w:t xml:space="preserve">浙江极氪智能科技有限公司、浙江吉利控股集团有限公司</w:t>
            </w:r>
          </w:p>
        </w:tc>
        <w:tc>
          <w:tcPr/>
          <w:p>
            <w:pPr>
              <w:pStyle w:val="Compact"/>
              <w:jc w:val="left"/>
            </w:pPr>
            <w:r>
              <w:t xml:space="preserve">未直接引用</w:t>
            </w:r>
          </w:p>
        </w:tc>
        <w:tc>
          <w:tcPr/>
          <w:p>
            <w:pPr>
              <w:pStyle w:val="Compact"/>
              <w:jc w:val="left"/>
            </w:pPr>
            <w:r>
              <w:t xml:space="preserve">卫星选择策略</w:t>
            </w:r>
          </w:p>
        </w:tc>
        <w:tc>
          <w:tcPr/>
          <w:p>
            <w:pPr>
              <w:pStyle w:val="Compact"/>
              <w:jc w:val="left"/>
            </w:pPr>
            <w:r>
              <w:t xml:space="preserve">参考</w:t>
            </w:r>
          </w:p>
        </w:tc>
      </w:tr>
      <w:tr>
        <w:tc>
          <w:tcPr/>
          <w:p>
            <w:pPr>
              <w:pStyle w:val="Compact"/>
              <w:jc w:val="left"/>
            </w:pPr>
            <w:r>
              <w:t xml:space="preserve">5</w:t>
            </w:r>
          </w:p>
        </w:tc>
        <w:tc>
          <w:tcPr/>
          <w:p>
            <w:pPr>
              <w:pStyle w:val="Compact"/>
              <w:jc w:val="left"/>
            </w:pPr>
            <w:r>
              <w:t xml:space="preserve">CN202111272674.3</w:t>
            </w:r>
          </w:p>
        </w:tc>
        <w:tc>
          <w:tcPr/>
          <w:p>
            <w:pPr>
              <w:pStyle w:val="Compact"/>
              <w:jc w:val="left"/>
            </w:pPr>
            <w:r>
              <w:t xml:space="preserve">车载卫星通信系统及车辆</w:t>
            </w:r>
          </w:p>
        </w:tc>
        <w:tc>
          <w:tcPr/>
          <w:p>
            <w:pPr>
              <w:pStyle w:val="Compact"/>
              <w:jc w:val="left"/>
            </w:pPr>
            <w:r>
              <w:t xml:space="preserve">吉利科技集团有限公司、浙江极氪智能科技有限公司、浙江吉利控股集团有限公司</w:t>
            </w:r>
          </w:p>
        </w:tc>
        <w:tc>
          <w:tcPr/>
          <w:p>
            <w:pPr>
              <w:pStyle w:val="Compact"/>
              <w:jc w:val="left"/>
            </w:pPr>
            <w:r>
              <w:t xml:space="preserve">6.1.1 天线选型要求</w:t>
            </w:r>
          </w:p>
        </w:tc>
        <w:tc>
          <w:tcPr/>
          <w:p>
            <w:pPr>
              <w:pStyle w:val="Compact"/>
              <w:jc w:val="left"/>
            </w:pPr>
            <w:r>
              <w:t xml:space="preserve">低轮廓平板阵列天线、人机交互</w:t>
            </w:r>
          </w:p>
        </w:tc>
        <w:tc>
          <w:tcPr/>
          <w:p>
            <w:pPr>
              <w:pStyle w:val="Compact"/>
              <w:jc w:val="left"/>
            </w:pPr>
            <w:r>
              <w:t xml:space="preserve">直接引用</w:t>
            </w:r>
          </w:p>
        </w:tc>
      </w:tr>
      <w:tr>
        <w:tc>
          <w:tcPr/>
          <w:p>
            <w:pPr>
              <w:pStyle w:val="Compact"/>
              <w:jc w:val="left"/>
            </w:pPr>
            <w:r>
              <w:t xml:space="preserve">6</w:t>
            </w:r>
          </w:p>
        </w:tc>
        <w:tc>
          <w:tcPr/>
          <w:p>
            <w:pPr>
              <w:pStyle w:val="Compact"/>
              <w:jc w:val="left"/>
            </w:pPr>
            <w:r>
              <w:t xml:space="preserve">CN202210705101.3</w:t>
            </w:r>
          </w:p>
        </w:tc>
        <w:tc>
          <w:tcPr/>
          <w:p>
            <w:pPr>
              <w:pStyle w:val="Compact"/>
              <w:jc w:val="left"/>
            </w:pPr>
            <w:r>
              <w:t xml:space="preserve">车辆卫星通讯方法、装置、设备及计算机可读存储介质</w:t>
            </w:r>
          </w:p>
        </w:tc>
        <w:tc>
          <w:tcPr/>
          <w:p>
            <w:pPr>
              <w:pStyle w:val="Compact"/>
              <w:jc w:val="left"/>
            </w:pPr>
            <w:r>
              <w:t xml:space="preserve">浙江吉利控股集团有限公司、杭州吉利汽车研究开发有限公司</w:t>
            </w:r>
          </w:p>
        </w:tc>
        <w:tc>
          <w:tcPr/>
          <w:p>
            <w:pPr>
              <w:pStyle w:val="Compact"/>
              <w:jc w:val="left"/>
            </w:pPr>
            <w:r>
              <w:t xml:space="preserve">未直接引用</w:t>
            </w:r>
          </w:p>
        </w:tc>
        <w:tc>
          <w:tcPr/>
          <w:p>
            <w:pPr>
              <w:pStyle w:val="Compact"/>
              <w:jc w:val="left"/>
            </w:pPr>
            <w:r>
              <w:t xml:space="preserve">卫星通讯预约时段共享</w:t>
            </w:r>
          </w:p>
        </w:tc>
        <w:tc>
          <w:tcPr/>
          <w:p>
            <w:pPr>
              <w:pStyle w:val="Compact"/>
              <w:jc w:val="left"/>
            </w:pPr>
            <w:r>
              <w:t xml:space="preserve">参考</w:t>
            </w:r>
          </w:p>
        </w:tc>
      </w:tr>
      <w:tr>
        <w:tc>
          <w:tcPr/>
          <w:p>
            <w:pPr>
              <w:pStyle w:val="Compact"/>
              <w:jc w:val="left"/>
            </w:pPr>
            <w:r>
              <w:t xml:space="preserve">7</w:t>
            </w:r>
          </w:p>
        </w:tc>
        <w:tc>
          <w:tcPr/>
          <w:p>
            <w:pPr>
              <w:pStyle w:val="Compact"/>
              <w:jc w:val="left"/>
            </w:pPr>
            <w:r>
              <w:t xml:space="preserve">CN201911354166.2</w:t>
            </w:r>
          </w:p>
        </w:tc>
        <w:tc>
          <w:tcPr/>
          <w:p>
            <w:pPr>
              <w:pStyle w:val="Compact"/>
              <w:jc w:val="left"/>
            </w:pPr>
            <w:r>
              <w:t xml:space="preserve">一种行驶行为的确定方法、装置、车辆及存储介质</w:t>
            </w:r>
          </w:p>
        </w:tc>
        <w:tc>
          <w:tcPr/>
          <w:p>
            <w:pPr>
              <w:pStyle w:val="Compact"/>
              <w:jc w:val="left"/>
            </w:pPr>
            <w:r>
              <w:t xml:space="preserve">浙江吉利汽车研究院有限公司、浙江吉利控股集团有限公司</w:t>
            </w:r>
          </w:p>
        </w:tc>
        <w:tc>
          <w:tcPr/>
          <w:p>
            <w:pPr>
              <w:pStyle w:val="Compact"/>
              <w:jc w:val="left"/>
            </w:pPr>
            <w:r>
              <w:t xml:space="preserve">未直接引用</w:t>
            </w:r>
          </w:p>
        </w:tc>
        <w:tc>
          <w:tcPr/>
          <w:p>
            <w:pPr>
              <w:pStyle w:val="Compact"/>
              <w:jc w:val="left"/>
            </w:pPr>
            <w:r>
              <w:t xml:space="preserve">卫星信号丢失处理</w:t>
            </w:r>
          </w:p>
        </w:tc>
        <w:tc>
          <w:tcPr/>
          <w:p>
            <w:pPr>
              <w:pStyle w:val="Compact"/>
              <w:jc w:val="left"/>
            </w:pPr>
            <w:r>
              <w:t xml:space="preserve">参考</w:t>
            </w:r>
          </w:p>
        </w:tc>
      </w:tr>
    </w:tbl>
    <w:bookmarkEnd w:id="27"/>
    <w:bookmarkStart w:id="28" w:name="比亚迪专利"/>
    <w:p>
      <w:pPr>
        <w:pStyle w:val="Heading3"/>
      </w:pPr>
      <w:r>
        <w:t xml:space="preserve">2.3 比亚迪专利</w:t>
      </w:r>
    </w:p>
    <w:tbl>
      <w:tblPr>
        <w:tblStyle w:val="Table"/>
        <w:tblW w:type="pct" w:w="5000"/>
        <w:tblLook w:firstRow="1" w:lastRow="0" w:firstColumn="0" w:lastColumn="0" w:noHBand="0" w:noVBand="0" w:val="0020"/>
      </w:tblPr>
      <w:tblGrid>
        <w:gridCol w:w="698"/>
        <w:gridCol w:w="931"/>
        <w:gridCol w:w="1164"/>
        <w:gridCol w:w="1164"/>
        <w:gridCol w:w="1630"/>
        <w:gridCol w:w="1164"/>
        <w:gridCol w:w="1164"/>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c>
          <w:tcPr/>
          <w:p>
            <w:pPr>
              <w:pStyle w:val="Compact"/>
              <w:jc w:val="left"/>
            </w:pPr>
            <w:r>
              <w:t xml:space="preserve">引用方式</w:t>
            </w:r>
          </w:p>
        </w:tc>
      </w:tr>
      <w:tr>
        <w:tc>
          <w:tcPr/>
          <w:p>
            <w:pPr>
              <w:pStyle w:val="Compact"/>
              <w:jc w:val="left"/>
            </w:pPr>
            <w:r>
              <w:t xml:space="preserve">8</w:t>
            </w:r>
          </w:p>
        </w:tc>
        <w:tc>
          <w:tcPr/>
          <w:p>
            <w:pPr>
              <w:pStyle w:val="Compact"/>
              <w:jc w:val="left"/>
            </w:pPr>
            <w:r>
              <w:t xml:space="preserve">CN202411150513.0</w:t>
            </w:r>
          </w:p>
        </w:tc>
        <w:tc>
          <w:tcPr/>
          <w:p>
            <w:pPr>
              <w:pStyle w:val="Compact"/>
              <w:jc w:val="left"/>
            </w:pPr>
            <w:r>
              <w:t xml:space="preserve">车载卫星通信系统、方法、设备、存储介质、程序产品和车辆</w:t>
            </w:r>
          </w:p>
        </w:tc>
        <w:tc>
          <w:tcPr/>
          <w:p>
            <w:pPr>
              <w:pStyle w:val="Compact"/>
              <w:jc w:val="left"/>
            </w:pPr>
            <w:r>
              <w:t xml:space="preserve">比亚迪股份有限公司</w:t>
            </w:r>
          </w:p>
        </w:tc>
        <w:tc>
          <w:tcPr/>
          <w:p>
            <w:pPr>
              <w:pStyle w:val="Compact"/>
              <w:jc w:val="left"/>
            </w:pPr>
            <w:r>
              <w:t xml:space="preserve">6.1.1 天线选型要求、6.1.2 波束赋形设计要求</w:t>
            </w:r>
          </w:p>
        </w:tc>
        <w:tc>
          <w:tcPr/>
          <w:p>
            <w:pPr>
              <w:pStyle w:val="Compact"/>
              <w:jc w:val="left"/>
            </w:pPr>
            <w:r>
              <w:t xml:space="preserve">多天线单元、射频切换、波束范围覆盖</w:t>
            </w:r>
          </w:p>
        </w:tc>
        <w:tc>
          <w:tcPr/>
          <w:p>
            <w:pPr>
              <w:pStyle w:val="Compact"/>
              <w:jc w:val="left"/>
            </w:pPr>
            <w:r>
              <w:t xml:space="preserve">直接引用</w:t>
            </w:r>
          </w:p>
        </w:tc>
      </w:tr>
      <w:tr>
        <w:tc>
          <w:tcPr/>
          <w:p>
            <w:pPr>
              <w:pStyle w:val="Compact"/>
              <w:jc w:val="left"/>
            </w:pPr>
            <w:r>
              <w:t xml:space="preserve">9</w:t>
            </w:r>
          </w:p>
        </w:tc>
        <w:tc>
          <w:tcPr/>
          <w:p>
            <w:pPr>
              <w:pStyle w:val="Compact"/>
              <w:jc w:val="left"/>
            </w:pPr>
            <w:r>
              <w:t xml:space="preserve">CN202411755347.7</w:t>
            </w:r>
          </w:p>
        </w:tc>
        <w:tc>
          <w:tcPr/>
          <w:p>
            <w:pPr>
              <w:pStyle w:val="Compact"/>
              <w:jc w:val="left"/>
            </w:pPr>
            <w:r>
              <w:t xml:space="preserve">车辆卫星天线角度调整方法、装置和车辆</w:t>
            </w:r>
          </w:p>
        </w:tc>
        <w:tc>
          <w:tcPr/>
          <w:p>
            <w:pPr>
              <w:pStyle w:val="Compact"/>
              <w:jc w:val="left"/>
            </w:pPr>
            <w:r>
              <w:t xml:space="preserve">比亚迪股份有限公司</w:t>
            </w:r>
          </w:p>
        </w:tc>
        <w:tc>
          <w:tcPr/>
          <w:p>
            <w:pPr>
              <w:pStyle w:val="Compact"/>
              <w:jc w:val="left"/>
            </w:pPr>
            <w:r>
              <w:t xml:space="preserve">6.1.3 天线角度调整设计</w:t>
            </w:r>
          </w:p>
        </w:tc>
        <w:tc>
          <w:tcPr/>
          <w:p>
            <w:pPr>
              <w:pStyle w:val="Compact"/>
              <w:jc w:val="left"/>
            </w:pPr>
            <w:r>
              <w:t xml:space="preserve">天线角度自适应调整、二分法寻优</w:t>
            </w:r>
          </w:p>
        </w:tc>
        <w:tc>
          <w:tcPr/>
          <w:p>
            <w:pPr>
              <w:pStyle w:val="Compact"/>
              <w:jc w:val="left"/>
            </w:pPr>
            <w:r>
              <w:t xml:space="preserve">直接引用</w:t>
            </w:r>
          </w:p>
        </w:tc>
      </w:tr>
      <w:tr>
        <w:tc>
          <w:tcPr/>
          <w:p>
            <w:pPr>
              <w:pStyle w:val="Compact"/>
              <w:jc w:val="left"/>
            </w:pPr>
            <w:r>
              <w:t xml:space="preserve">10</w:t>
            </w:r>
          </w:p>
        </w:tc>
        <w:tc>
          <w:tcPr/>
          <w:p>
            <w:pPr>
              <w:pStyle w:val="Compact"/>
              <w:jc w:val="left"/>
            </w:pPr>
            <w:r>
              <w:t xml:space="preserve">CN202510901536.9</w:t>
            </w:r>
          </w:p>
        </w:tc>
        <w:tc>
          <w:tcPr/>
          <w:p>
            <w:pPr>
              <w:pStyle w:val="Compact"/>
              <w:jc w:val="left"/>
            </w:pPr>
            <w:r>
              <w:t xml:space="preserve">卫星通信方法、存储介质、控制器及车辆</w:t>
            </w:r>
          </w:p>
        </w:tc>
        <w:tc>
          <w:tcPr/>
          <w:p>
            <w:pPr>
              <w:pStyle w:val="Compact"/>
              <w:jc w:val="left"/>
            </w:pPr>
            <w:r>
              <w:t xml:space="preserve">比亚迪股份有限公司</w:t>
            </w:r>
          </w:p>
        </w:tc>
        <w:tc>
          <w:tcPr/>
          <w:p>
            <w:pPr>
              <w:pStyle w:val="Compact"/>
              <w:jc w:val="left"/>
            </w:pPr>
            <w:r>
              <w:t xml:space="preserve">未直接引用</w:t>
            </w:r>
          </w:p>
        </w:tc>
        <w:tc>
          <w:tcPr/>
          <w:p>
            <w:pPr>
              <w:pStyle w:val="Compact"/>
              <w:jc w:val="left"/>
            </w:pPr>
            <w:r>
              <w:t xml:space="preserve">多波束联合接收、干扰抑制</w:t>
            </w:r>
          </w:p>
        </w:tc>
        <w:tc>
          <w:tcPr/>
          <w:p>
            <w:pPr>
              <w:pStyle w:val="Compact"/>
              <w:jc w:val="left"/>
            </w:pPr>
            <w:r>
              <w:t xml:space="preserve">参考</w:t>
            </w:r>
          </w:p>
        </w:tc>
      </w:tr>
    </w:tbl>
    <w:bookmarkEnd w:id="28"/>
    <w:bookmarkStart w:id="29" w:name="赛力斯专利"/>
    <w:p>
      <w:pPr>
        <w:pStyle w:val="Heading3"/>
      </w:pPr>
      <w:r>
        <w:t xml:space="preserve">2.4 赛力斯专利</w:t>
      </w:r>
    </w:p>
    <w:tbl>
      <w:tblPr>
        <w:tblStyle w:val="Table"/>
        <w:tblW w:type="pct" w:w="5000"/>
        <w:tblLook w:firstRow="1" w:lastRow="0" w:firstColumn="0" w:lastColumn="0" w:noHBand="0" w:noVBand="0" w:val="0020"/>
      </w:tblPr>
      <w:tblGrid>
        <w:gridCol w:w="698"/>
        <w:gridCol w:w="931"/>
        <w:gridCol w:w="1164"/>
        <w:gridCol w:w="1164"/>
        <w:gridCol w:w="1630"/>
        <w:gridCol w:w="1164"/>
        <w:gridCol w:w="1164"/>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c>
          <w:tcPr/>
          <w:p>
            <w:pPr>
              <w:pStyle w:val="Compact"/>
              <w:jc w:val="left"/>
            </w:pPr>
            <w:r>
              <w:t xml:space="preserve">引用方式</w:t>
            </w:r>
          </w:p>
        </w:tc>
      </w:tr>
      <w:tr>
        <w:tc>
          <w:tcPr/>
          <w:p>
            <w:pPr>
              <w:pStyle w:val="Compact"/>
              <w:jc w:val="left"/>
            </w:pPr>
            <w:r>
              <w:t xml:space="preserve">11</w:t>
            </w:r>
          </w:p>
        </w:tc>
        <w:tc>
          <w:tcPr/>
          <w:p>
            <w:pPr>
              <w:pStyle w:val="Compact"/>
              <w:jc w:val="left"/>
            </w:pPr>
            <w:r>
              <w:t xml:space="preserve">CN202411493441.X</w:t>
            </w:r>
          </w:p>
        </w:tc>
        <w:tc>
          <w:tcPr/>
          <w:p>
            <w:pPr>
              <w:pStyle w:val="Compact"/>
              <w:jc w:val="left"/>
            </w:pPr>
            <w:r>
              <w:t xml:space="preserve">车载卫星通信方法、装置、设备及存储介质</w:t>
            </w:r>
          </w:p>
        </w:tc>
        <w:tc>
          <w:tcPr/>
          <w:p>
            <w:pPr>
              <w:pStyle w:val="Compact"/>
              <w:jc w:val="left"/>
            </w:pPr>
            <w:r>
              <w:t xml:space="preserve">赛力斯汽车有限公司</w:t>
            </w:r>
          </w:p>
        </w:tc>
        <w:tc>
          <w:tcPr/>
          <w:p>
            <w:pPr>
              <w:pStyle w:val="Compact"/>
              <w:jc w:val="left"/>
            </w:pPr>
            <w:r>
              <w:t xml:space="preserve">5.2.1 网络切换管理</w:t>
            </w:r>
          </w:p>
        </w:tc>
        <w:tc>
          <w:tcPr/>
          <w:p>
            <w:pPr>
              <w:pStyle w:val="Compact"/>
              <w:jc w:val="left"/>
            </w:pPr>
            <w:r>
              <w:t xml:space="preserve">卫星/蜂窝网络切换、交替呼叫</w:t>
            </w:r>
          </w:p>
        </w:tc>
        <w:tc>
          <w:tcPr/>
          <w:p>
            <w:pPr>
              <w:pStyle w:val="Compact"/>
              <w:jc w:val="left"/>
            </w:pPr>
            <w:r>
              <w:t xml:space="preserve">直接引用</w:t>
            </w:r>
          </w:p>
        </w:tc>
      </w:tr>
      <w:tr>
        <w:tc>
          <w:tcPr/>
          <w:p>
            <w:pPr>
              <w:pStyle w:val="Compact"/>
              <w:jc w:val="left"/>
            </w:pPr>
            <w:r>
              <w:t xml:space="preserve">12</w:t>
            </w:r>
          </w:p>
        </w:tc>
        <w:tc>
          <w:tcPr/>
          <w:p>
            <w:pPr>
              <w:pStyle w:val="Compact"/>
              <w:jc w:val="left"/>
            </w:pPr>
            <w:r>
              <w:t xml:space="preserve">CN202510276892.6</w:t>
            </w:r>
          </w:p>
        </w:tc>
        <w:tc>
          <w:tcPr/>
          <w:p>
            <w:pPr>
              <w:pStyle w:val="Compact"/>
              <w:jc w:val="left"/>
            </w:pPr>
            <w:r>
              <w:t xml:space="preserve">车载卫星通信系统收发能力下线检测方法、装置、设备及介质</w:t>
            </w:r>
          </w:p>
        </w:tc>
        <w:tc>
          <w:tcPr/>
          <w:p>
            <w:pPr>
              <w:pStyle w:val="Compact"/>
              <w:jc w:val="left"/>
            </w:pPr>
            <w:r>
              <w:t xml:space="preserve">赛力斯汽车有限公司</w:t>
            </w:r>
          </w:p>
        </w:tc>
        <w:tc>
          <w:tcPr/>
          <w:p>
            <w:pPr>
              <w:pStyle w:val="Compact"/>
              <w:jc w:val="left"/>
            </w:pPr>
            <w:r>
              <w:t xml:space="preserve">6.3 下线检测设计要求</w:t>
            </w:r>
          </w:p>
        </w:tc>
        <w:tc>
          <w:tcPr/>
          <w:p>
            <w:pPr>
              <w:pStyle w:val="Compact"/>
              <w:jc w:val="left"/>
            </w:pPr>
            <w:r>
              <w:t xml:space="preserve">SIM卡检测、入网检测、故障码读取</w:t>
            </w:r>
          </w:p>
        </w:tc>
        <w:tc>
          <w:tcPr/>
          <w:p>
            <w:pPr>
              <w:pStyle w:val="Compact"/>
              <w:jc w:val="left"/>
            </w:pPr>
            <w:r>
              <w:t xml:space="preserve">直接引用</w:t>
            </w:r>
          </w:p>
        </w:tc>
      </w:tr>
    </w:tbl>
    <w:bookmarkEnd w:id="29"/>
    <w:bookmarkStart w:id="30" w:name="长安汽车专利"/>
    <w:p>
      <w:pPr>
        <w:pStyle w:val="Heading3"/>
      </w:pPr>
      <w:r>
        <w:t xml:space="preserve">2.5 长安汽车专利</w:t>
      </w:r>
    </w:p>
    <w:tbl>
      <w:tblPr>
        <w:tblStyle w:val="Table"/>
        <w:tblW w:type="pct" w:w="5000"/>
        <w:tblLook w:firstRow="1" w:lastRow="0" w:firstColumn="0" w:lastColumn="0" w:noHBand="0" w:noVBand="0" w:val="0020"/>
      </w:tblPr>
      <w:tblGrid>
        <w:gridCol w:w="698"/>
        <w:gridCol w:w="931"/>
        <w:gridCol w:w="1164"/>
        <w:gridCol w:w="1164"/>
        <w:gridCol w:w="1630"/>
        <w:gridCol w:w="1164"/>
        <w:gridCol w:w="1164"/>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c>
          <w:tcPr/>
          <w:p>
            <w:pPr>
              <w:pStyle w:val="Compact"/>
              <w:jc w:val="left"/>
            </w:pPr>
            <w:r>
              <w:t xml:space="preserve">引用方式</w:t>
            </w:r>
          </w:p>
        </w:tc>
      </w:tr>
      <w:tr>
        <w:tc>
          <w:tcPr/>
          <w:p>
            <w:pPr>
              <w:pStyle w:val="Compact"/>
              <w:jc w:val="left"/>
            </w:pPr>
            <w:r>
              <w:t xml:space="preserve">13</w:t>
            </w:r>
          </w:p>
        </w:tc>
        <w:tc>
          <w:tcPr/>
          <w:p>
            <w:pPr>
              <w:pStyle w:val="Compact"/>
              <w:jc w:val="left"/>
            </w:pPr>
            <w:r>
              <w:t xml:space="preserve">CN202311559261.2</w:t>
            </w:r>
          </w:p>
        </w:tc>
        <w:tc>
          <w:tcPr/>
          <w:p>
            <w:pPr>
              <w:pStyle w:val="Compact"/>
              <w:jc w:val="left"/>
            </w:pPr>
            <w:r>
              <w:t xml:space="preserve">基于低轨卫星的车载通信方法、系统及车载控制设备</w:t>
            </w:r>
          </w:p>
        </w:tc>
        <w:tc>
          <w:tcPr/>
          <w:p>
            <w:pPr>
              <w:pStyle w:val="Compact"/>
              <w:jc w:val="left"/>
            </w:pPr>
            <w:r>
              <w:t xml:space="preserve">重庆长安汽车股份有限公司</w:t>
            </w:r>
          </w:p>
        </w:tc>
        <w:tc>
          <w:tcPr/>
          <w:p>
            <w:pPr>
              <w:pStyle w:val="Compact"/>
              <w:jc w:val="left"/>
            </w:pPr>
            <w:r>
              <w:t xml:space="preserve">5.2.2 数据通道管理</w:t>
            </w:r>
          </w:p>
        </w:tc>
        <w:tc>
          <w:tcPr/>
          <w:p>
            <w:pPr>
              <w:pStyle w:val="Compact"/>
              <w:jc w:val="left"/>
            </w:pPr>
            <w:r>
              <w:t xml:space="preserve">多数据通道选择、通信请求转译</w:t>
            </w:r>
          </w:p>
        </w:tc>
        <w:tc>
          <w:tcPr/>
          <w:p>
            <w:pPr>
              <w:pStyle w:val="Compact"/>
              <w:jc w:val="left"/>
            </w:pPr>
            <w:r>
              <w:t xml:space="preserve">直接引用</w:t>
            </w:r>
          </w:p>
        </w:tc>
      </w:tr>
      <w:tr>
        <w:tc>
          <w:tcPr/>
          <w:p>
            <w:pPr>
              <w:pStyle w:val="Compact"/>
              <w:jc w:val="left"/>
            </w:pPr>
            <w:r>
              <w:t xml:space="preserve">14</w:t>
            </w:r>
          </w:p>
        </w:tc>
        <w:tc>
          <w:tcPr/>
          <w:p>
            <w:pPr>
              <w:pStyle w:val="Compact"/>
              <w:jc w:val="left"/>
            </w:pPr>
            <w:r>
              <w:t xml:space="preserve">CN202421143420.0</w:t>
            </w:r>
          </w:p>
        </w:tc>
        <w:tc>
          <w:tcPr/>
          <w:p>
            <w:pPr>
              <w:pStyle w:val="Compact"/>
              <w:jc w:val="left"/>
            </w:pPr>
            <w:r>
              <w:t xml:space="preserve">卫星通讯终端及车辆</w:t>
            </w:r>
          </w:p>
        </w:tc>
        <w:tc>
          <w:tcPr/>
          <w:p>
            <w:pPr>
              <w:pStyle w:val="Compact"/>
              <w:jc w:val="left"/>
            </w:pPr>
            <w:r>
              <w:t xml:space="preserve">重庆长安科技有限责任公司</w:t>
            </w:r>
          </w:p>
        </w:tc>
        <w:tc>
          <w:tcPr/>
          <w:p>
            <w:pPr>
              <w:pStyle w:val="Compact"/>
              <w:jc w:val="left"/>
            </w:pPr>
            <w:r>
              <w:t xml:space="preserve">7.4 连接器设计要求</w:t>
            </w:r>
          </w:p>
        </w:tc>
        <w:tc>
          <w:tcPr/>
          <w:p>
            <w:pPr>
              <w:pStyle w:val="Compact"/>
              <w:jc w:val="left"/>
            </w:pPr>
            <w:r>
              <w:t xml:space="preserve">快速插拔结构、二次锁扣</w:t>
            </w:r>
          </w:p>
        </w:tc>
        <w:tc>
          <w:tcPr/>
          <w:p>
            <w:pPr>
              <w:pStyle w:val="Compact"/>
              <w:jc w:val="left"/>
            </w:pPr>
            <w:r>
              <w:t xml:space="preserve">直接引用</w:t>
            </w:r>
          </w:p>
        </w:tc>
      </w:tr>
    </w:tbl>
    <w:p>
      <w:r>
        <w:pict>
          <v:rect style="width:0;height:1.5pt" o:hralign="center" o:hrstd="t" o:hr="t"/>
        </w:pict>
      </w:r>
    </w:p>
    <w:bookmarkEnd w:id="30"/>
    <w:bookmarkEnd w:id="31"/>
    <w:bookmarkStart w:id="34" w:name="标准条款对照表"/>
    <w:p>
      <w:pPr>
        <w:pStyle w:val="Heading2"/>
      </w:pPr>
      <w:r>
        <w:t xml:space="preserve">3 标准条款对照表</w:t>
      </w:r>
    </w:p>
    <w:bookmarkStart w:id="32" w:name="核心标准"/>
    <w:p>
      <w:pPr>
        <w:pStyle w:val="Heading3"/>
      </w:pPr>
      <w:r>
        <w:t xml:space="preserve">3.1 核心标准</w:t>
      </w:r>
    </w:p>
    <w:tbl>
      <w:tblPr>
        <w:tblStyle w:val="Table"/>
        <w:tblW w:type="pct" w:w="5000"/>
        <w:tblLook w:firstRow="1" w:lastRow="0" w:firstColumn="0" w:lastColumn="0" w:noHBand="0" w:noVBand="0" w:val="0020"/>
      </w:tblPr>
      <w:tblGrid>
        <w:gridCol w:w="819"/>
        <w:gridCol w:w="1092"/>
        <w:gridCol w:w="1365"/>
        <w:gridCol w:w="1911"/>
        <w:gridCol w:w="1365"/>
        <w:gridCol w:w="1365"/>
      </w:tblGrid>
      <w:tr>
        <w:trPr>
          <w:tblHeader w:val="true"/>
        </w:trPr>
        <w:tc>
          <w:tcPr/>
          <w:p>
            <w:pPr>
              <w:pStyle w:val="Compact"/>
              <w:jc w:val="left"/>
            </w:pPr>
            <w:r>
              <w:t xml:space="preserve">序号</w:t>
            </w:r>
          </w:p>
        </w:tc>
        <w:tc>
          <w:tcPr/>
          <w:p>
            <w:pPr>
              <w:pStyle w:val="Compact"/>
              <w:jc w:val="left"/>
            </w:pPr>
            <w:r>
              <w:t xml:space="preserve">标准号</w:t>
            </w:r>
          </w:p>
        </w:tc>
        <w:tc>
          <w:tcPr/>
          <w:p>
            <w:pPr>
              <w:pStyle w:val="Compact"/>
              <w:jc w:val="left"/>
            </w:pPr>
            <w:r>
              <w:t xml:space="preserve">标准名称</w:t>
            </w:r>
          </w:p>
        </w:tc>
        <w:tc>
          <w:tcPr/>
          <w:p>
            <w:pPr>
              <w:pStyle w:val="Compact"/>
              <w:jc w:val="left"/>
            </w:pPr>
            <w:r>
              <w:t xml:space="preserve">规范引用章节</w:t>
            </w:r>
          </w:p>
        </w:tc>
        <w:tc>
          <w:tcPr/>
          <w:p>
            <w:pPr>
              <w:pStyle w:val="Compact"/>
              <w:jc w:val="left"/>
            </w:pPr>
            <w:r>
              <w:t xml:space="preserve">引用内容</w:t>
            </w:r>
          </w:p>
        </w:tc>
        <w:tc>
          <w:tcPr/>
          <w:p>
            <w:pPr>
              <w:pStyle w:val="Compact"/>
              <w:jc w:val="left"/>
            </w:pPr>
            <w:r>
              <w:t xml:space="preserve">引用方式</w:t>
            </w:r>
          </w:p>
        </w:tc>
      </w:tr>
      <w:tr>
        <w:tc>
          <w:tcPr/>
          <w:p>
            <w:pPr>
              <w:pStyle w:val="Compact"/>
              <w:jc w:val="left"/>
            </w:pPr>
            <w:r>
              <w:t xml:space="preserve">1</w:t>
            </w:r>
          </w:p>
        </w:tc>
        <w:tc>
          <w:tcPr/>
          <w:p>
            <w:pPr>
              <w:pStyle w:val="Compact"/>
              <w:jc w:val="left"/>
            </w:pPr>
            <w:r>
              <w:t xml:space="preserve">YD/T 4517.4-2024</w:t>
            </w:r>
          </w:p>
        </w:tc>
        <w:tc>
          <w:tcPr/>
          <w:p>
            <w:pPr>
              <w:pStyle w:val="Compact"/>
              <w:jc w:val="left"/>
            </w:pPr>
            <w:r>
              <w:t xml:space="preserve">车联网通信设备电磁兼容性要求和测量方法 第4部分：车载卫星通信设备</w:t>
            </w:r>
          </w:p>
        </w:tc>
        <w:tc>
          <w:tcPr/>
          <w:p>
            <w:pPr>
              <w:pStyle w:val="Compact"/>
              <w:jc w:val="left"/>
            </w:pPr>
            <w:r>
              <w:t xml:space="preserve">全文各章节</w:t>
            </w:r>
          </w:p>
        </w:tc>
        <w:tc>
          <w:tcPr/>
          <w:p>
            <w:pPr>
              <w:pStyle w:val="Compact"/>
              <w:jc w:val="left"/>
            </w:pPr>
            <w:r>
              <w:t xml:space="preserve">EMC要求、测量方法、限值、性能判据</w:t>
            </w:r>
          </w:p>
        </w:tc>
        <w:tc>
          <w:tcPr/>
          <w:p>
            <w:pPr>
              <w:pStyle w:val="Compact"/>
              <w:jc w:val="left"/>
            </w:pPr>
            <w:r>
              <w:t xml:space="preserve">直接引用</w:t>
            </w:r>
          </w:p>
        </w:tc>
      </w:tr>
    </w:tbl>
    <w:bookmarkEnd w:id="32"/>
    <w:bookmarkStart w:id="33" w:name="引用标准"/>
    <w:p>
      <w:pPr>
        <w:pStyle w:val="Heading3"/>
      </w:pPr>
      <w:r>
        <w:t xml:space="preserve">3.2 引用标准</w:t>
      </w:r>
    </w:p>
    <w:tbl>
      <w:tblPr>
        <w:tblStyle w:val="Table"/>
        <w:tblW w:type="pct" w:w="5000"/>
        <w:tblLook w:firstRow="1" w:lastRow="0" w:firstColumn="0" w:lastColumn="0" w:noHBand="0" w:noVBand="0" w:val="0020"/>
      </w:tblPr>
      <w:tblGrid>
        <w:gridCol w:w="819"/>
        <w:gridCol w:w="1092"/>
        <w:gridCol w:w="1365"/>
        <w:gridCol w:w="1911"/>
        <w:gridCol w:w="1365"/>
        <w:gridCol w:w="1365"/>
      </w:tblGrid>
      <w:tr>
        <w:trPr>
          <w:tblHeader w:val="true"/>
        </w:trPr>
        <w:tc>
          <w:tcPr/>
          <w:p>
            <w:pPr>
              <w:pStyle w:val="Compact"/>
              <w:jc w:val="left"/>
            </w:pPr>
            <w:r>
              <w:t xml:space="preserve">序号</w:t>
            </w:r>
          </w:p>
        </w:tc>
        <w:tc>
          <w:tcPr/>
          <w:p>
            <w:pPr>
              <w:pStyle w:val="Compact"/>
              <w:jc w:val="left"/>
            </w:pPr>
            <w:r>
              <w:t xml:space="preserve">标准号</w:t>
            </w:r>
          </w:p>
        </w:tc>
        <w:tc>
          <w:tcPr/>
          <w:p>
            <w:pPr>
              <w:pStyle w:val="Compact"/>
              <w:jc w:val="left"/>
            </w:pPr>
            <w:r>
              <w:t xml:space="preserve">标准名称</w:t>
            </w:r>
          </w:p>
        </w:tc>
        <w:tc>
          <w:tcPr/>
          <w:p>
            <w:pPr>
              <w:pStyle w:val="Compact"/>
              <w:jc w:val="left"/>
            </w:pPr>
            <w:r>
              <w:t xml:space="preserve">规范引用章节</w:t>
            </w:r>
          </w:p>
        </w:tc>
        <w:tc>
          <w:tcPr/>
          <w:p>
            <w:pPr>
              <w:pStyle w:val="Compact"/>
              <w:jc w:val="left"/>
            </w:pPr>
            <w:r>
              <w:t xml:space="preserve">引用内容</w:t>
            </w:r>
          </w:p>
        </w:tc>
        <w:tc>
          <w:tcPr/>
          <w:p>
            <w:pPr>
              <w:pStyle w:val="Compact"/>
              <w:jc w:val="left"/>
            </w:pPr>
            <w:r>
              <w:t xml:space="preserve">引用方式</w:t>
            </w:r>
          </w:p>
        </w:tc>
      </w:tr>
      <w:tr>
        <w:tc>
          <w:tcPr/>
          <w:p>
            <w:pPr>
              <w:pStyle w:val="Compact"/>
              <w:jc w:val="left"/>
            </w:pPr>
            <w:r>
              <w:t xml:space="preserve">2</w:t>
            </w:r>
          </w:p>
        </w:tc>
        <w:tc>
          <w:tcPr/>
          <w:p>
            <w:pPr>
              <w:pStyle w:val="Compact"/>
              <w:jc w:val="left"/>
            </w:pPr>
            <w:r>
              <w:t xml:space="preserve">GB/T 6113.104</w:t>
            </w:r>
          </w:p>
        </w:tc>
        <w:tc>
          <w:tcPr/>
          <w:p>
            <w:pPr>
              <w:pStyle w:val="Compact"/>
              <w:jc w:val="left"/>
            </w:pPr>
            <w:r>
              <w:t xml:space="preserve">无线电骚扰和抗扰度测量设备和测量方法规范 第1-4部分</w:t>
            </w:r>
          </w:p>
        </w:tc>
        <w:tc>
          <w:tcPr/>
          <w:p>
            <w:pPr>
              <w:pStyle w:val="Compact"/>
              <w:jc w:val="left"/>
            </w:pPr>
            <w:r>
              <w:t xml:space="preserve">9.1.1 辐射杂散骚扰测试</w:t>
            </w:r>
          </w:p>
        </w:tc>
        <w:tc>
          <w:tcPr/>
          <w:p>
            <w:pPr>
              <w:pStyle w:val="Compact"/>
              <w:jc w:val="left"/>
            </w:pPr>
            <w:r>
              <w:t xml:space="preserve">辐射杂散测量场地要求</w:t>
            </w:r>
          </w:p>
        </w:tc>
        <w:tc>
          <w:tcPr/>
          <w:p>
            <w:pPr>
              <w:pStyle w:val="Compact"/>
              <w:jc w:val="left"/>
            </w:pPr>
            <w:r>
              <w:t xml:space="preserve">直接引用</w:t>
            </w:r>
          </w:p>
        </w:tc>
      </w:tr>
      <w:tr>
        <w:tc>
          <w:tcPr/>
          <w:p>
            <w:pPr>
              <w:pStyle w:val="Compact"/>
              <w:jc w:val="left"/>
            </w:pPr>
            <w:r>
              <w:t xml:space="preserve">3</w:t>
            </w:r>
          </w:p>
        </w:tc>
        <w:tc>
          <w:tcPr/>
          <w:p>
            <w:pPr>
              <w:pStyle w:val="Compact"/>
              <w:jc w:val="left"/>
            </w:pPr>
            <w:r>
              <w:t xml:space="preserve">GB/T 18655-2018</w:t>
            </w:r>
          </w:p>
        </w:tc>
        <w:tc>
          <w:tcPr/>
          <w:p>
            <w:pPr>
              <w:pStyle w:val="Compact"/>
              <w:jc w:val="left"/>
            </w:pPr>
            <w:r>
              <w:t xml:space="preserve">车辆、船和内燃机 无线电骚扰特性用于保护车载接收机的限值和测量方法</w:t>
            </w:r>
          </w:p>
        </w:tc>
        <w:tc>
          <w:tcPr/>
          <w:p>
            <w:pPr>
              <w:pStyle w:val="Compact"/>
              <w:jc w:val="left"/>
            </w:pPr>
            <w:r>
              <w:t xml:space="preserve">9.1.2 辐射骚扰测试、9.1.3 传导骚扰测试</w:t>
            </w:r>
          </w:p>
        </w:tc>
        <w:tc>
          <w:tcPr/>
          <w:p>
            <w:pPr>
              <w:pStyle w:val="Compact"/>
              <w:jc w:val="left"/>
            </w:pPr>
            <w:r>
              <w:t xml:space="preserve">辐射/传导骚扰测量方法</w:t>
            </w:r>
          </w:p>
        </w:tc>
        <w:tc>
          <w:tcPr/>
          <w:p>
            <w:pPr>
              <w:pStyle w:val="Compact"/>
              <w:jc w:val="left"/>
            </w:pPr>
            <w:r>
              <w:t xml:space="preserve">直接引用</w:t>
            </w:r>
          </w:p>
        </w:tc>
      </w:tr>
      <w:tr>
        <w:tc>
          <w:tcPr/>
          <w:p>
            <w:pPr>
              <w:pStyle w:val="Compact"/>
              <w:jc w:val="left"/>
            </w:pPr>
            <w:r>
              <w:t xml:space="preserve">4</w:t>
            </w:r>
          </w:p>
        </w:tc>
        <w:tc>
          <w:tcPr/>
          <w:p>
            <w:pPr>
              <w:pStyle w:val="Compact"/>
              <w:jc w:val="left"/>
            </w:pPr>
            <w:r>
              <w:t xml:space="preserve">GB/T 19951</w:t>
            </w:r>
          </w:p>
        </w:tc>
        <w:tc>
          <w:tcPr/>
          <w:p>
            <w:pPr>
              <w:pStyle w:val="Compact"/>
              <w:jc w:val="left"/>
            </w:pPr>
            <w:r>
              <w:t xml:space="preserve">道路车辆 电气/电子部件对静电放电抗扰性的试验方法</w:t>
            </w:r>
          </w:p>
        </w:tc>
        <w:tc>
          <w:tcPr/>
          <w:p>
            <w:pPr>
              <w:pStyle w:val="Compact"/>
              <w:jc w:val="left"/>
            </w:pPr>
            <w:r>
              <w:t xml:space="preserve">9.2.1 静电放电抗扰度测试</w:t>
            </w:r>
          </w:p>
        </w:tc>
        <w:tc>
          <w:tcPr/>
          <w:p>
            <w:pPr>
              <w:pStyle w:val="Compact"/>
              <w:jc w:val="left"/>
            </w:pPr>
            <w:r>
              <w:t xml:space="preserve">静电放电抗扰度试验方法</w:t>
            </w:r>
          </w:p>
        </w:tc>
        <w:tc>
          <w:tcPr/>
          <w:p>
            <w:pPr>
              <w:pStyle w:val="Compact"/>
              <w:jc w:val="left"/>
            </w:pPr>
            <w:r>
              <w:t xml:space="preserve">直接引用</w:t>
            </w:r>
          </w:p>
        </w:tc>
      </w:tr>
      <w:tr>
        <w:tc>
          <w:tcPr/>
          <w:p>
            <w:pPr>
              <w:pStyle w:val="Compact"/>
              <w:jc w:val="left"/>
            </w:pPr>
            <w:r>
              <w:t xml:space="preserve">5</w:t>
            </w:r>
          </w:p>
        </w:tc>
        <w:tc>
          <w:tcPr/>
          <w:p>
            <w:pPr>
              <w:pStyle w:val="Compact"/>
              <w:jc w:val="left"/>
            </w:pPr>
            <w:r>
              <w:t xml:space="preserve">GB/T 21437.2</w:t>
            </w:r>
          </w:p>
        </w:tc>
        <w:tc>
          <w:tcPr/>
          <w:p>
            <w:pPr>
              <w:pStyle w:val="Compact"/>
              <w:jc w:val="left"/>
            </w:pPr>
            <w:r>
              <w:t xml:space="preserve">道路车辆 由传导和耦合引起的电骚扰 第2部分：沿电源线的电瞬态传导</w:t>
            </w:r>
          </w:p>
        </w:tc>
        <w:tc>
          <w:tcPr/>
          <w:p>
            <w:pPr>
              <w:pStyle w:val="Compact"/>
              <w:jc w:val="left"/>
            </w:pPr>
            <w:r>
              <w:t xml:space="preserve">7.3.2 电瞬态防护设计要求</w:t>
            </w:r>
          </w:p>
        </w:tc>
        <w:tc>
          <w:tcPr/>
          <w:p>
            <w:pPr>
              <w:pStyle w:val="Compact"/>
              <w:jc w:val="left"/>
            </w:pPr>
            <w:r>
              <w:t xml:space="preserve">电瞬态传导抗扰度试验</w:t>
            </w:r>
          </w:p>
        </w:tc>
        <w:tc>
          <w:tcPr/>
          <w:p>
            <w:pPr>
              <w:pStyle w:val="Compact"/>
              <w:jc w:val="left"/>
            </w:pPr>
            <w:r>
              <w:t xml:space="preserve">直接引用</w:t>
            </w:r>
          </w:p>
        </w:tc>
      </w:tr>
      <w:tr>
        <w:tc>
          <w:tcPr/>
          <w:p>
            <w:pPr>
              <w:pStyle w:val="Compact"/>
              <w:jc w:val="left"/>
            </w:pPr>
            <w:r>
              <w:t xml:space="preserve">6</w:t>
            </w:r>
          </w:p>
        </w:tc>
        <w:tc>
          <w:tcPr/>
          <w:p>
            <w:pPr>
              <w:pStyle w:val="Compact"/>
              <w:jc w:val="left"/>
            </w:pPr>
            <w:r>
              <w:t xml:space="preserve">GB/T 21437.3</w:t>
            </w:r>
          </w:p>
        </w:tc>
        <w:tc>
          <w:tcPr/>
          <w:p>
            <w:pPr>
              <w:pStyle w:val="Compact"/>
              <w:jc w:val="left"/>
            </w:pPr>
            <w:r>
              <w:t xml:space="preserve">道路车辆 由传导和耦合引起的电骚扰 第3部分：除电源线外的导线通过容性和感性耦合的电瞬态发射</w:t>
            </w:r>
          </w:p>
        </w:tc>
        <w:tc>
          <w:tcPr/>
          <w:p>
            <w:pPr>
              <w:pStyle w:val="Compact"/>
              <w:jc w:val="left"/>
            </w:pPr>
            <w:r>
              <w:t xml:space="preserve">8.2.2 环路面积最小化</w:t>
            </w:r>
          </w:p>
        </w:tc>
        <w:tc>
          <w:tcPr/>
          <w:p>
            <w:pPr>
              <w:pStyle w:val="Compact"/>
              <w:jc w:val="left"/>
            </w:pPr>
            <w:r>
              <w:t xml:space="preserve">导线电瞬态传导抗扰度试验</w:t>
            </w:r>
          </w:p>
        </w:tc>
        <w:tc>
          <w:tcPr/>
          <w:p>
            <w:pPr>
              <w:pStyle w:val="Compact"/>
              <w:jc w:val="left"/>
            </w:pPr>
            <w:r>
              <w:t xml:space="preserve">直接引用</w:t>
            </w:r>
          </w:p>
        </w:tc>
      </w:tr>
      <w:tr>
        <w:tc>
          <w:tcPr/>
          <w:p>
            <w:pPr>
              <w:pStyle w:val="Compact"/>
              <w:jc w:val="left"/>
            </w:pPr>
            <w:r>
              <w:t xml:space="preserve">7</w:t>
            </w:r>
          </w:p>
        </w:tc>
        <w:tc>
          <w:tcPr/>
          <w:p>
            <w:pPr>
              <w:pStyle w:val="Compact"/>
              <w:jc w:val="left"/>
            </w:pPr>
            <w:r>
              <w:t xml:space="preserve">GB/T 33014.2</w:t>
            </w:r>
          </w:p>
        </w:tc>
        <w:tc>
          <w:tcPr/>
          <w:p>
            <w:pPr>
              <w:pStyle w:val="Compact"/>
              <w:jc w:val="left"/>
            </w:pPr>
            <w:r>
              <w:t xml:space="preserve">道路车辆 电气/电子部件对窄带辐射电磁能的抗扰性试验方法 第2部分：电波暗室法</w:t>
            </w:r>
          </w:p>
        </w:tc>
        <w:tc>
          <w:tcPr/>
          <w:p>
            <w:pPr>
              <w:pStyle w:val="Compact"/>
              <w:jc w:val="left"/>
            </w:pPr>
            <w:r>
              <w:t xml:space="preserve">9.2.2 电磁辐射抗扰度测试</w:t>
            </w:r>
          </w:p>
        </w:tc>
        <w:tc>
          <w:tcPr/>
          <w:p>
            <w:pPr>
              <w:pStyle w:val="Compact"/>
              <w:jc w:val="left"/>
            </w:pPr>
            <w:r>
              <w:t xml:space="preserve">电磁辐射抗扰度试验方法</w:t>
            </w:r>
          </w:p>
        </w:tc>
        <w:tc>
          <w:tcPr/>
          <w:p>
            <w:pPr>
              <w:pStyle w:val="Compact"/>
              <w:jc w:val="left"/>
            </w:pPr>
            <w:r>
              <w:t xml:space="preserve">直接引用</w:t>
            </w:r>
          </w:p>
        </w:tc>
      </w:tr>
      <w:tr>
        <w:tc>
          <w:tcPr/>
          <w:p>
            <w:pPr>
              <w:pStyle w:val="Compact"/>
              <w:jc w:val="left"/>
            </w:pPr>
            <w:r>
              <w:t xml:space="preserve">8</w:t>
            </w:r>
          </w:p>
        </w:tc>
        <w:tc>
          <w:tcPr/>
          <w:p>
            <w:pPr>
              <w:pStyle w:val="Compact"/>
              <w:jc w:val="left"/>
            </w:pPr>
            <w:r>
              <w:t xml:space="preserve">GB/T 33014.4</w:t>
            </w:r>
          </w:p>
        </w:tc>
        <w:tc>
          <w:tcPr/>
          <w:p>
            <w:pPr>
              <w:pStyle w:val="Compact"/>
              <w:jc w:val="left"/>
            </w:pPr>
            <w:r>
              <w:t xml:space="preserve">道路车辆 电气/电子部件对窄带辐射电磁能的抗扰性试验方法 第4部分：大电流注入（BCI）法</w:t>
            </w:r>
          </w:p>
        </w:tc>
        <w:tc>
          <w:tcPr/>
          <w:p>
            <w:pPr>
              <w:pStyle w:val="Compact"/>
              <w:jc w:val="left"/>
            </w:pPr>
            <w:r>
              <w:t xml:space="preserve">9.2.3 大电流注入抗扰度测试</w:t>
            </w:r>
          </w:p>
        </w:tc>
        <w:tc>
          <w:tcPr/>
          <w:p>
            <w:pPr>
              <w:pStyle w:val="Compact"/>
              <w:jc w:val="left"/>
            </w:pPr>
            <w:r>
              <w:t xml:space="preserve">大电流注入抗扰度试验方法</w:t>
            </w:r>
          </w:p>
        </w:tc>
        <w:tc>
          <w:tcPr/>
          <w:p>
            <w:pPr>
              <w:pStyle w:val="Compact"/>
              <w:jc w:val="left"/>
            </w:pPr>
            <w:r>
              <w:t xml:space="preserve">直接引用</w:t>
            </w:r>
          </w:p>
        </w:tc>
      </w:tr>
      <w:tr>
        <w:tc>
          <w:tcPr/>
          <w:p>
            <w:pPr>
              <w:pStyle w:val="Compact"/>
              <w:jc w:val="left"/>
            </w:pPr>
            <w:r>
              <w:t xml:space="preserve">9</w:t>
            </w:r>
          </w:p>
        </w:tc>
        <w:tc>
          <w:tcPr/>
          <w:p>
            <w:pPr>
              <w:pStyle w:val="Compact"/>
              <w:jc w:val="left"/>
            </w:pPr>
            <w:r>
              <w:t xml:space="preserve">YD/T 1483</w:t>
            </w:r>
          </w:p>
        </w:tc>
        <w:tc>
          <w:tcPr/>
          <w:p>
            <w:pPr>
              <w:pStyle w:val="Compact"/>
              <w:jc w:val="left"/>
            </w:pPr>
            <w:r>
              <w:t xml:space="preserve">无线电设备杂散发射技术要求和测量方法</w:t>
            </w:r>
          </w:p>
        </w:tc>
        <w:tc>
          <w:tcPr/>
          <w:p>
            <w:pPr>
              <w:pStyle w:val="Compact"/>
              <w:jc w:val="left"/>
            </w:pPr>
            <w:r>
              <w:t xml:space="preserve">9.1.1 辐射杂散骚扰测试</w:t>
            </w:r>
          </w:p>
        </w:tc>
        <w:tc>
          <w:tcPr/>
          <w:p>
            <w:pPr>
              <w:pStyle w:val="Compact"/>
              <w:jc w:val="left"/>
            </w:pPr>
            <w:r>
              <w:t xml:space="preserve">辐射杂散测量方法</w:t>
            </w:r>
          </w:p>
        </w:tc>
        <w:tc>
          <w:tcPr/>
          <w:p>
            <w:pPr>
              <w:pStyle w:val="Compact"/>
              <w:jc w:val="left"/>
            </w:pPr>
            <w:r>
              <w:t xml:space="preserve">直接引用</w:t>
            </w:r>
          </w:p>
        </w:tc>
      </w:tr>
    </w:tbl>
    <w:p>
      <w:r>
        <w:pict>
          <v:rect style="width:0;height:1.5pt" o:hralign="center" o:hrstd="t" o:hr="t"/>
        </w:pict>
      </w:r>
    </w:p>
    <w:bookmarkEnd w:id="33"/>
    <w:bookmarkEnd w:id="34"/>
    <w:bookmarkStart w:id="51" w:name="详细对照分析"/>
    <w:p>
      <w:pPr>
        <w:pStyle w:val="Heading2"/>
      </w:pPr>
      <w:r>
        <w:t xml:space="preserve">4 详细对照分析</w:t>
      </w:r>
    </w:p>
    <w:bookmarkStart w:id="38" w:name="系统架构层技术来源分析"/>
    <w:p>
      <w:pPr>
        <w:pStyle w:val="Heading3"/>
      </w:pPr>
      <w:r>
        <w:t xml:space="preserve">4.1 系统架构层技术来源分析</w:t>
      </w:r>
    </w:p>
    <w:bookmarkStart w:id="35" w:name="时域隔离设计规范5.1.2节"/>
    <w:p>
      <w:pPr>
        <w:pStyle w:val="Heading4"/>
      </w:pPr>
      <w:r>
        <w:t xml:space="preserve">4.1.1 时域隔离设计（规范5.1.2节）</w:t>
      </w:r>
    </w:p>
    <w:p>
      <w:pPr>
        <w:pStyle w:val="FirstParagraph"/>
      </w:pPr>
      <w:r>
        <w:rPr>
          <w:bCs/>
          <w:b/>
        </w:rPr>
        <w:t xml:space="preserve">技术来源</w:t>
      </w:r>
      <w:r>
        <w:t xml:space="preserve">：专利技术CN202410892217.1 + 技术研究方案</w:t>
      </w:r>
    </w:p>
    <w:p>
      <w:pPr>
        <w:pStyle w:val="BodyText"/>
      </w:pPr>
      <w:r>
        <w:rPr>
          <w:bCs/>
          <w:b/>
        </w:rPr>
        <w:t xml:space="preserve">专利原文</w:t>
      </w:r>
      <w:r>
        <w:t xml:space="preserve">：</w:t>
      </w:r>
      <w:r>
        <w:t xml:space="preserve"> </w:t>
      </w:r>
      <w:r>
        <w:t xml:space="preserve">&gt;</w:t>
      </w:r>
      <w:r>
        <w:t xml:space="preserve"> </w:t>
      </w:r>
      <w:r>
        <w:t xml:space="preserve">“</w:t>
      </w:r>
      <w:r>
        <w:t xml:space="preserve">在接收到车端通信主控系统发送的停止定位请求时，获取卫星定位状态信息；根据卫星定位状态信息，基于预设的卫星定位关闭条件，生成反馈请求；若反馈请求为确认停止请求，则将卫星定位状态标志位更新为不可用状态，以终止采用卫星定位方式进行车辆定位。</w:t>
      </w:r>
      <w:r>
        <w:t xml:space="preserve">”</w:t>
      </w:r>
    </w:p>
    <w:p>
      <w:pPr>
        <w:pStyle w:val="BodyText"/>
      </w:pPr>
      <w:r>
        <w:rPr>
          <w:bCs/>
          <w:b/>
        </w:rPr>
        <w:t xml:space="preserve">技术研究方案原文</w:t>
      </w:r>
      <w:r>
        <w:t xml:space="preserve">：</w:t>
      </w:r>
      <w:r>
        <w:t xml:space="preserve"> </w:t>
      </w:r>
      <w:r>
        <w:t xml:space="preserve">&gt;</w:t>
      </w:r>
      <w:r>
        <w:t xml:space="preserve"> </w:t>
      </w:r>
      <w:r>
        <w:t xml:space="preserve">“</w:t>
      </w:r>
      <w:r>
        <w:t xml:space="preserve">针对这一问题，事后在电路板级别加滤波器难以根本解决这种系统级、芯片级别的干扰。可以从系统架构层面就采取EMC正向设计策略，如可在卫星通信系统大功率发射时，通过系统指令暂时抑制或关闭敏感的卫星定位接收功能，规避同频/邻频干扰，等时域隔离的设计方案。</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5.1.2.2 在卫星通信系统大功率发射时，应通过系统指令暂时抑制或关闭敏感的卫星定位接收功能，规避同频/邻频干扰。</w:t>
      </w:r>
      <w:r>
        <w:t xml:space="preserve">”</w:t>
      </w:r>
    </w:p>
    <w:p>
      <w:pPr>
        <w:pStyle w:val="BodyText"/>
      </w:pPr>
      <w:r>
        <w:rPr>
          <w:bCs/>
          <w:b/>
        </w:rPr>
        <w:t xml:space="preserve">对应关系</w:t>
      </w:r>
      <w:r>
        <w:t xml:space="preserve">：规范条款直接引用了专利技术中的时域隔离思想和技术方案中的设计策略。</w:t>
      </w:r>
    </w:p>
    <w:p>
      <w:r>
        <w:pict>
          <v:rect style="width:0;height:1.5pt" o:hralign="center" o:hrstd="t" o:hr="t"/>
        </w:pict>
      </w:r>
    </w:p>
    <w:bookmarkEnd w:id="35"/>
    <w:bookmarkStart w:id="36" w:name="网络切换设计规范5.2.1节"/>
    <w:p>
      <w:pPr>
        <w:pStyle w:val="Heading4"/>
      </w:pPr>
      <w:r>
        <w:t xml:space="preserve">4.1.2 网络切换设计（规范5.2.1节）</w:t>
      </w:r>
    </w:p>
    <w:p>
      <w:pPr>
        <w:pStyle w:val="FirstParagraph"/>
      </w:pPr>
      <w:r>
        <w:rPr>
          <w:bCs/>
          <w:b/>
        </w:rPr>
        <w:t xml:space="preserve">技术来源</w:t>
      </w:r>
      <w:r>
        <w:t xml:space="preserve">：专利技术CN202411493441.X</w:t>
      </w:r>
    </w:p>
    <w:p>
      <w:pPr>
        <w:pStyle w:val="BodyText"/>
      </w:pPr>
      <w:r>
        <w:rPr>
          <w:bCs/>
          <w:b/>
        </w:rPr>
        <w:t xml:space="preserve">专利原文</w:t>
      </w:r>
      <w:r>
        <w:t xml:space="preserve">：</w:t>
      </w:r>
      <w:r>
        <w:t xml:space="preserve"> </w:t>
      </w:r>
      <w:r>
        <w:t xml:space="preserve">&gt;</w:t>
      </w:r>
      <w:r>
        <w:t xml:space="preserve"> </w:t>
      </w:r>
      <w:r>
        <w:t xml:space="preserve">“</w:t>
      </w:r>
      <w:r>
        <w:t xml:space="preserve">若监测到车辆接入的蜂窝网络的信号质量满足预设第一信号门限，则控制车辆接入卫星网络，使卫星网络保持空闲状态；响应用于触发呼叫的请求指令，若蜂窝网络的通信中断，则利用卫星网络发起呼叫，使卫星网络进入通信状态；若卫星网络呼叫失败，则控制蜂窝网络和卫星网络交替发起呼叫，直至呼叫成功或交替次数达到预设循环次数。</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5.2.1.1 系统应支持卫星网络与蜂窝网络的协同工作，当蜂窝网络信号质量满足预设门限时，控制车辆接入卫星网络并保持空闲状态。</w:t>
      </w:r>
      <w:r>
        <w:t xml:space="preserve">”</w:t>
      </w:r>
      <w:r>
        <w:t xml:space="preserve"> </w:t>
      </w:r>
      <w:r>
        <w:t xml:space="preserve">&gt;</w:t>
      </w:r>
      <w:r>
        <w:t xml:space="preserve"> </w:t>
      </w:r>
      <w:r>
        <w:t xml:space="preserve">&gt;</w:t>
      </w:r>
      <w:r>
        <w:t xml:space="preserve"> </w:t>
      </w:r>
      <w:r>
        <w:t xml:space="preserve">“</w:t>
      </w:r>
      <w:r>
        <w:t xml:space="preserve">5.2.1.2 当蜂窝网络通信中断时，系统应能自动切换至卫星网络发起呼叫。</w:t>
      </w:r>
      <w:r>
        <w:t xml:space="preserve">”</w:t>
      </w:r>
      <w:r>
        <w:t xml:space="preserve"> </w:t>
      </w:r>
      <w:r>
        <w:t xml:space="preserve">&gt;</w:t>
      </w:r>
      <w:r>
        <w:t xml:space="preserve"> </w:t>
      </w:r>
      <w:r>
        <w:t xml:space="preserve">&gt;</w:t>
      </w:r>
      <w:r>
        <w:t xml:space="preserve"> </w:t>
      </w:r>
      <w:r>
        <w:t xml:space="preserve">“</w:t>
      </w:r>
      <w:r>
        <w:t xml:space="preserve">5.2.1.3 若卫星网络呼叫失败，系统应支持蜂窝网络和卫星网络交替发起呼叫机制，直至呼叫成功或达到预设循环次数。</w:t>
      </w:r>
      <w:r>
        <w:t xml:space="preserve">”</w:t>
      </w:r>
    </w:p>
    <w:p>
      <w:pPr>
        <w:pStyle w:val="BodyText"/>
      </w:pPr>
      <w:r>
        <w:rPr>
          <w:bCs/>
          <w:b/>
        </w:rPr>
        <w:t xml:space="preserve">对应关系</w:t>
      </w:r>
      <w:r>
        <w:t xml:space="preserve">：规范条款直接引用了专利技术中的网络切换机制描述。</w:t>
      </w:r>
    </w:p>
    <w:p>
      <w:r>
        <w:pict>
          <v:rect style="width:0;height:1.5pt" o:hralign="center" o:hrstd="t" o:hr="t"/>
        </w:pict>
      </w:r>
    </w:p>
    <w:bookmarkEnd w:id="36"/>
    <w:bookmarkStart w:id="37" w:name="数据通道选择规范5.2.2节"/>
    <w:p>
      <w:pPr>
        <w:pStyle w:val="Heading4"/>
      </w:pPr>
      <w:r>
        <w:t xml:space="preserve">4.1.3 数据通道选择（规范5.2.2节）</w:t>
      </w:r>
    </w:p>
    <w:p>
      <w:pPr>
        <w:pStyle w:val="FirstParagraph"/>
      </w:pPr>
      <w:r>
        <w:rPr>
          <w:bCs/>
          <w:b/>
        </w:rPr>
        <w:t xml:space="preserve">技术来源</w:t>
      </w:r>
      <w:r>
        <w:t xml:space="preserve">：专利技术CN202311559261.2</w:t>
      </w:r>
    </w:p>
    <w:p>
      <w:pPr>
        <w:pStyle w:val="BodyText"/>
      </w:pPr>
      <w:r>
        <w:rPr>
          <w:bCs/>
          <w:b/>
        </w:rPr>
        <w:t xml:space="preserve">专利原文</w:t>
      </w:r>
      <w:r>
        <w:t xml:space="preserve">：</w:t>
      </w:r>
      <w:r>
        <w:t xml:space="preserve"> </w:t>
      </w:r>
      <w:r>
        <w:t xml:space="preserve">&gt;</w:t>
      </w:r>
      <w:r>
        <w:t xml:space="preserve"> </w:t>
      </w:r>
      <w:r>
        <w:t xml:space="preserve">“</w:t>
      </w:r>
      <w:r>
        <w:t xml:space="preserve">根据通信连接请求的类型，从卫星通信模组包括的至少两个数据通道中，选择目标数据通道；将通信连接请求发送至卫星通信模组，以使卫星通信模组将卫星通信请求发送至卫星通信服务器。</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5.2.2.1 系统应根据通信连接请求的类型，从卫星通信模组包含的至少两个数据通道中选择目标数据通道。</w:t>
      </w:r>
      <w:r>
        <w:t xml:space="preserve">”</w:t>
      </w:r>
    </w:p>
    <w:p>
      <w:pPr>
        <w:pStyle w:val="BodyText"/>
      </w:pPr>
      <w:r>
        <w:rPr>
          <w:bCs/>
          <w:b/>
        </w:rPr>
        <w:t xml:space="preserve">对应关系</w:t>
      </w:r>
      <w:r>
        <w:t xml:space="preserve">：规范条款直接引用了专利技术中的数据通道选择机制。</w:t>
      </w:r>
    </w:p>
    <w:p>
      <w:r>
        <w:pict>
          <v:rect style="width:0;height:1.5pt" o:hralign="center" o:hrstd="t" o:hr="t"/>
        </w:pict>
      </w:r>
    </w:p>
    <w:bookmarkEnd w:id="37"/>
    <w:bookmarkEnd w:id="38"/>
    <w:bookmarkStart w:id="43" w:name="天线与射频前端技术来源分析"/>
    <w:p>
      <w:pPr>
        <w:pStyle w:val="Heading3"/>
      </w:pPr>
      <w:r>
        <w:t xml:space="preserve">4.2 天线与射频前端技术来源分析</w:t>
      </w:r>
    </w:p>
    <w:bookmarkStart w:id="39" w:name="天线选型设计规范6.1.1节"/>
    <w:p>
      <w:pPr>
        <w:pStyle w:val="Heading4"/>
      </w:pPr>
      <w:r>
        <w:t xml:space="preserve">4.2.1 天线选型设计（规范6.1.1节）</w:t>
      </w:r>
    </w:p>
    <w:p>
      <w:pPr>
        <w:pStyle w:val="FirstParagraph"/>
      </w:pPr>
      <w:r>
        <w:rPr>
          <w:bCs/>
          <w:b/>
        </w:rPr>
        <w:t xml:space="preserve">技术来源</w:t>
      </w:r>
      <w:r>
        <w:t xml:space="preserve">：技术研究方案 + 专利技术CN202411150513.0 + 专利技术CN202111272674.3</w:t>
      </w:r>
    </w:p>
    <w:p>
      <w:pPr>
        <w:pStyle w:val="BodyText"/>
      </w:pPr>
      <w:r>
        <w:rPr>
          <w:bCs/>
          <w:b/>
        </w:rPr>
        <w:t xml:space="preserve">技术研究方案原文</w:t>
      </w:r>
      <w:r>
        <w:t xml:space="preserve">：</w:t>
      </w:r>
      <w:r>
        <w:t xml:space="preserve"> </w:t>
      </w:r>
      <w:r>
        <w:t xml:space="preserve">&gt;</w:t>
      </w:r>
      <w:r>
        <w:t xml:space="preserve"> </w:t>
      </w:r>
      <w:r>
        <w:t xml:space="preserve">“</w:t>
      </w:r>
      <w:r>
        <w:t xml:space="preserve">该系统通常采用多阵元平面阵列天线，通过波束赋形技术实现空间选择性。</w:t>
      </w:r>
      <w:r>
        <w:t xml:space="preserve">”</w:t>
      </w:r>
    </w:p>
    <w:p>
      <w:pPr>
        <w:pStyle w:val="BodyText"/>
      </w:pPr>
      <w:r>
        <w:rPr>
          <w:bCs/>
          <w:b/>
        </w:rPr>
        <w:t xml:space="preserve">专利原文（CN202411150513.0）</w:t>
      </w:r>
      <w:r>
        <w:t xml:space="preserve">：</w:t>
      </w:r>
      <w:r>
        <w:t xml:space="preserve"> </w:t>
      </w:r>
      <w:r>
        <w:t xml:space="preserve">&gt;</w:t>
      </w:r>
      <w:r>
        <w:t xml:space="preserve"> </w:t>
      </w:r>
      <w:r>
        <w:t xml:space="preserve">“</w:t>
      </w:r>
      <w:r>
        <w:t xml:space="preserve">天线组由多个低剖面贴片天线单元阵列组成，且相邻的天线单元的波束范围至少在-5db处存在重叠。</w:t>
      </w:r>
      <w:r>
        <w:t xml:space="preserve">”</w:t>
      </w:r>
      <w:r>
        <w:t xml:space="preserve"> </w:t>
      </w:r>
      <w:r>
        <w:t xml:space="preserve">&gt;</w:t>
      </w:r>
      <w:r>
        <w:t xml:space="preserve"> </w:t>
      </w:r>
      <w:r>
        <w:t xml:space="preserve">&gt;</w:t>
      </w:r>
      <w:r>
        <w:t xml:space="preserve"> </w:t>
      </w:r>
      <w:r>
        <w:t xml:space="preserve">“</w:t>
      </w:r>
      <w:r>
        <w:t xml:space="preserve">天线组中的全部天线单元的波束范围叠加后至少覆盖车辆的30°～150°仰角范围。</w:t>
      </w:r>
      <w:r>
        <w:t xml:space="preserve">”</w:t>
      </w:r>
    </w:p>
    <w:p>
      <w:pPr>
        <w:pStyle w:val="BodyText"/>
      </w:pPr>
      <w:r>
        <w:rPr>
          <w:bCs/>
          <w:b/>
        </w:rPr>
        <w:t xml:space="preserve">专利原文（CN202111272674.3）</w:t>
      </w:r>
      <w:r>
        <w:t xml:space="preserve">：</w:t>
      </w:r>
      <w:r>
        <w:t xml:space="preserve"> </w:t>
      </w:r>
      <w:r>
        <w:t xml:space="preserve">&gt;</w:t>
      </w:r>
      <w:r>
        <w:t xml:space="preserve"> </w:t>
      </w:r>
      <w:r>
        <w:t xml:space="preserve">“</w:t>
      </w:r>
      <w:r>
        <w:t xml:space="preserve">卫星天线为低轮廓平板阵列天线。</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6.1.1.1 车载低轨卫星通信系统应采用多阵元平面阵列天线，通过波束赋形技术实现空间选择性。</w:t>
      </w:r>
      <w:r>
        <w:t xml:space="preserve">”</w:t>
      </w:r>
      <w:r>
        <w:t xml:space="preserve"> </w:t>
      </w:r>
      <w:r>
        <w:t xml:space="preserve">&gt;</w:t>
      </w:r>
      <w:r>
        <w:t xml:space="preserve"> </w:t>
      </w:r>
      <w:r>
        <w:t xml:space="preserve">&gt;</w:t>
      </w:r>
      <w:r>
        <w:t xml:space="preserve"> </w:t>
      </w:r>
      <w:r>
        <w:t xml:space="preserve">“</w:t>
      </w:r>
      <w:r>
        <w:t xml:space="preserve">6.1.1.2 天线组应由多个低剖面贴片天线单元阵列组成，相邻天线单元的波束范围至少在-5dB处存在重叠。</w:t>
      </w:r>
      <w:r>
        <w:t xml:space="preserve">”</w:t>
      </w:r>
      <w:r>
        <w:t xml:space="preserve"> </w:t>
      </w:r>
      <w:r>
        <w:t xml:space="preserve">&gt;</w:t>
      </w:r>
      <w:r>
        <w:t xml:space="preserve"> </w:t>
      </w:r>
      <w:r>
        <w:t xml:space="preserve">&gt;</w:t>
      </w:r>
      <w:r>
        <w:t xml:space="preserve"> </w:t>
      </w:r>
      <w:r>
        <w:t xml:space="preserve">“</w:t>
      </w:r>
      <w:r>
        <w:t xml:space="preserve">6.1.1.3 天线组中的全部天线单元的波束范围叠加后应至少覆盖车辆的30°～150°仰角范围。</w:t>
      </w:r>
      <w:r>
        <w:t xml:space="preserve">”</w:t>
      </w:r>
    </w:p>
    <w:p>
      <w:pPr>
        <w:pStyle w:val="BodyText"/>
      </w:pPr>
      <w:r>
        <w:rPr>
          <w:bCs/>
          <w:b/>
        </w:rPr>
        <w:t xml:space="preserve">对应关系</w:t>
      </w:r>
      <w:r>
        <w:t xml:space="preserve">：规范条款综合引用了技术方案的天线特点和专利技术的具体参数要求。</w:t>
      </w:r>
    </w:p>
    <w:p>
      <w:r>
        <w:pict>
          <v:rect style="width:0;height:1.5pt" o:hralign="center" o:hrstd="t" o:hr="t"/>
        </w:pict>
      </w:r>
    </w:p>
    <w:bookmarkEnd w:id="39"/>
    <w:bookmarkStart w:id="40" w:name="波束赋形设计规范6.1.2节"/>
    <w:p>
      <w:pPr>
        <w:pStyle w:val="Heading4"/>
      </w:pPr>
      <w:r>
        <w:t xml:space="preserve">4.2.2 波束赋形设计（规范6.1.2节）</w:t>
      </w:r>
    </w:p>
    <w:p>
      <w:pPr>
        <w:pStyle w:val="FirstParagraph"/>
      </w:pPr>
      <w:r>
        <w:rPr>
          <w:bCs/>
          <w:b/>
        </w:rPr>
        <w:t xml:space="preserve">技术来源</w:t>
      </w:r>
      <w:r>
        <w:t xml:space="preserve">：技术研究方案 + YD/T 4517.4-2024</w:t>
      </w:r>
    </w:p>
    <w:p>
      <w:pPr>
        <w:pStyle w:val="BodyText"/>
      </w:pPr>
      <w:r>
        <w:rPr>
          <w:bCs/>
          <w:b/>
        </w:rPr>
        <w:t xml:space="preserve">技术研究方案原文</w:t>
      </w:r>
      <w:r>
        <w:t xml:space="preserve">：</w:t>
      </w:r>
      <w:r>
        <w:t xml:space="preserve"> </w:t>
      </w:r>
      <w:r>
        <w:t xml:space="preserve">&gt;</w:t>
      </w:r>
      <w:r>
        <w:t xml:space="preserve"> </w:t>
      </w:r>
      <w:r>
        <w:t xml:space="preserve">“</w:t>
      </w:r>
      <w:r>
        <w:t xml:space="preserve">通过设计波束赋形：可以控制能量方向并抑制带外杂散，降低了非期望方向的杂散辐射。</w:t>
      </w:r>
      <w:r>
        <w:t xml:space="preserve">”</w:t>
      </w:r>
      <w:r>
        <w:t xml:space="preserve"> </w:t>
      </w:r>
      <w:r>
        <w:t xml:space="preserve">&gt;</w:t>
      </w:r>
      <w:r>
        <w:t xml:space="preserve"> </w:t>
      </w:r>
      <w:r>
        <w:t xml:space="preserve">&gt;</w:t>
      </w:r>
      <w:r>
        <w:t xml:space="preserve"> </w:t>
      </w:r>
      <w:r>
        <w:t xml:space="preserve">“</w:t>
      </w:r>
      <w:r>
        <w:t xml:space="preserve">针对该项问题可以对于天线在空间选择性技术上进行EMC正向设计方案的考量，如设计波束赋形在干扰方向形成’零点’的能力，增强天线抗干扰的能力。</w:t>
      </w:r>
      <w:r>
        <w:t xml:space="preserve">”</w:t>
      </w:r>
    </w:p>
    <w:p>
      <w:pPr>
        <w:pStyle w:val="BodyText"/>
      </w:pPr>
      <w:r>
        <w:rPr>
          <w:bCs/>
          <w:b/>
        </w:rPr>
        <w:t xml:space="preserve">标准原文（YD/T 4517.4-2024）</w:t>
      </w:r>
      <w:r>
        <w:t xml:space="preserve">：</w:t>
      </w:r>
      <w:r>
        <w:t xml:space="preserve"> </w:t>
      </w:r>
      <w:r>
        <w:t xml:space="preserve">&gt;</w:t>
      </w:r>
      <w:r>
        <w:t xml:space="preserve"> </w:t>
      </w:r>
      <w:r>
        <w:t xml:space="preserve">“</w:t>
      </w:r>
      <w:r>
        <w:t xml:space="preserve">表4 机壳端口的辐射杂散限值（业务模式）：30 MHz～1 GHz：-36 dBm；&gt;1 GHz：-30 dBm</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6.1.2.1 天线设计应具备波束赋形能力，控制能量方向并抑制带外杂散，降低非期望方向的杂散辐射。</w:t>
      </w:r>
      <w:r>
        <w:t xml:space="preserve">”</w:t>
      </w:r>
      <w:r>
        <w:t xml:space="preserve"> </w:t>
      </w:r>
      <w:r>
        <w:t xml:space="preserve">&gt;</w:t>
      </w:r>
      <w:r>
        <w:t xml:space="preserve"> </w:t>
      </w:r>
      <w:r>
        <w:t xml:space="preserve">&gt;</w:t>
      </w:r>
      <w:r>
        <w:t xml:space="preserve"> </w:t>
      </w:r>
      <w:r>
        <w:t xml:space="preserve">“</w:t>
      </w:r>
      <w:r>
        <w:t xml:space="preserve">6.1.2.2 波束赋形应在干扰方向形成’零点’的能力，增强天线抗干扰能力。</w:t>
      </w:r>
      <w:r>
        <w:t xml:space="preserve">”</w:t>
      </w:r>
      <w:r>
        <w:t xml:space="preserve"> </w:t>
      </w:r>
      <w:r>
        <w:t xml:space="preserve">&gt;</w:t>
      </w:r>
      <w:r>
        <w:t xml:space="preserve"> </w:t>
      </w:r>
      <w:r>
        <w:t xml:space="preserve">&gt;</w:t>
      </w:r>
      <w:r>
        <w:t xml:space="preserve"> </w:t>
      </w:r>
      <w:r>
        <w:t xml:space="preserve">“</w:t>
      </w:r>
      <w:r>
        <w:t xml:space="preserve">6.1.2.3 波束赋形设计应确保辐射杂散满足YD/T 4517.4-2024第8.1.2.1节表4中-36dBm的严格限值。</w:t>
      </w:r>
      <w:r>
        <w:t xml:space="preserve">”</w:t>
      </w:r>
    </w:p>
    <w:p>
      <w:pPr>
        <w:pStyle w:val="BodyText"/>
      </w:pPr>
      <w:r>
        <w:rPr>
          <w:bCs/>
          <w:b/>
        </w:rPr>
        <w:t xml:space="preserve">对应关系</w:t>
      </w:r>
      <w:r>
        <w:t xml:space="preserve">：规范条款引用了技术方案中的波束赋形设计思路，并关联了标准中的限值要求。</w:t>
      </w:r>
    </w:p>
    <w:p>
      <w:r>
        <w:pict>
          <v:rect style="width:0;height:1.5pt" o:hralign="center" o:hrstd="t" o:hr="t"/>
        </w:pict>
      </w:r>
    </w:p>
    <w:bookmarkEnd w:id="40"/>
    <w:bookmarkStart w:id="41" w:name="天线角度调整规范6.1.3节"/>
    <w:p>
      <w:pPr>
        <w:pStyle w:val="Heading4"/>
      </w:pPr>
      <w:r>
        <w:t xml:space="preserve">4.2.3 天线角度调整（规范6.1.3节）</w:t>
      </w:r>
    </w:p>
    <w:p>
      <w:pPr>
        <w:pStyle w:val="FirstParagraph"/>
      </w:pPr>
      <w:r>
        <w:rPr>
          <w:bCs/>
          <w:b/>
        </w:rPr>
        <w:t xml:space="preserve">技术来源</w:t>
      </w:r>
      <w:r>
        <w:t xml:space="preserve">：专利技术CN202411755347.7</w:t>
      </w:r>
    </w:p>
    <w:p>
      <w:pPr>
        <w:pStyle w:val="BodyText"/>
      </w:pPr>
      <w:r>
        <w:rPr>
          <w:bCs/>
          <w:b/>
        </w:rPr>
        <w:t xml:space="preserve">专利原文</w:t>
      </w:r>
      <w:r>
        <w:t xml:space="preserve">：</w:t>
      </w:r>
      <w:r>
        <w:t xml:space="preserve"> </w:t>
      </w:r>
      <w:r>
        <w:t xml:space="preserve">&gt;</w:t>
      </w:r>
      <w:r>
        <w:t xml:space="preserve"> </w:t>
      </w:r>
      <w:r>
        <w:t xml:space="preserve">“</w:t>
      </w:r>
      <w:r>
        <w:t xml:space="preserve">基于车辆当前姿态信息建立空间坐标系，空间坐标系包括平面象限和空间象限；基于空间坐标系，获取车辆卫星天线角度，车辆卫星角度包括车辆卫星天线在平面象限内的第一角度，以及在空间象限内的第二角度；基于车辆卫星天线角度对车辆卫星天线进行角度调整。</w:t>
      </w:r>
      <w:r>
        <w:t xml:space="preserve">”</w:t>
      </w:r>
      <w:r>
        <w:t xml:space="preserve"> </w:t>
      </w:r>
      <w:r>
        <w:t xml:space="preserve">&gt;</w:t>
      </w:r>
      <w:r>
        <w:t xml:space="preserve"> </w:t>
      </w:r>
      <w:r>
        <w:t xml:space="preserve">&gt;</w:t>
      </w:r>
      <w:r>
        <w:t xml:space="preserve"> </w:t>
      </w:r>
      <w:r>
        <w:t xml:space="preserve">“</w:t>
      </w:r>
      <w:r>
        <w:t xml:space="preserve">通过二分法在目标平面象限和目标空间象限内获取车辆卫星天线角度。</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6.1.3.1 系统应具备天线角度自适应调整功能，基于车辆当前姿态信息建立空间坐标系，获取车辆卫星天线角度并进行调整。</w:t>
      </w:r>
      <w:r>
        <w:t xml:space="preserve">”</w:t>
      </w:r>
      <w:r>
        <w:t xml:space="preserve"> </w:t>
      </w:r>
      <w:r>
        <w:t xml:space="preserve">&gt;</w:t>
      </w:r>
      <w:r>
        <w:t xml:space="preserve"> </w:t>
      </w:r>
      <w:r>
        <w:t xml:space="preserve">&gt;</w:t>
      </w:r>
      <w:r>
        <w:t xml:space="preserve"> </w:t>
      </w:r>
      <w:r>
        <w:t xml:space="preserve">“</w:t>
      </w:r>
      <w:r>
        <w:t xml:space="preserve">6.1.3.2 天线角度调整应采用二分法在目标平面象限和目标空间象限内确定最优角度。</w:t>
      </w:r>
      <w:r>
        <w:t xml:space="preserve">”</w:t>
      </w:r>
    </w:p>
    <w:p>
      <w:pPr>
        <w:pStyle w:val="BodyText"/>
      </w:pPr>
      <w:r>
        <w:rPr>
          <w:bCs/>
          <w:b/>
        </w:rPr>
        <w:t xml:space="preserve">对应关系</w:t>
      </w:r>
      <w:r>
        <w:t xml:space="preserve">：规范条款直接引用了专利技术中的天线角度调整方法和算法。</w:t>
      </w:r>
    </w:p>
    <w:p>
      <w:r>
        <w:pict>
          <v:rect style="width:0;height:1.5pt" o:hralign="center" o:hrstd="t" o:hr="t"/>
        </w:pict>
      </w:r>
    </w:p>
    <w:bookmarkEnd w:id="41"/>
    <w:bookmarkStart w:id="42" w:name="下线检测设计规范6.3节"/>
    <w:p>
      <w:pPr>
        <w:pStyle w:val="Heading4"/>
      </w:pPr>
      <w:r>
        <w:t xml:space="preserve">4.2.4 下线检测设计（规范6.3节）</w:t>
      </w:r>
    </w:p>
    <w:p>
      <w:pPr>
        <w:pStyle w:val="FirstParagraph"/>
      </w:pPr>
      <w:r>
        <w:rPr>
          <w:bCs/>
          <w:b/>
        </w:rPr>
        <w:t xml:space="preserve">技术来源</w:t>
      </w:r>
      <w:r>
        <w:t xml:space="preserve">：专利技术CN202510276892.6</w:t>
      </w:r>
    </w:p>
    <w:p>
      <w:pPr>
        <w:pStyle w:val="BodyText"/>
      </w:pPr>
      <w:r>
        <w:rPr>
          <w:bCs/>
          <w:b/>
        </w:rPr>
        <w:t xml:space="preserve">专利原文</w:t>
      </w:r>
      <w:r>
        <w:t xml:space="preserve">：</w:t>
      </w:r>
      <w:r>
        <w:t xml:space="preserve"> </w:t>
      </w:r>
      <w:r>
        <w:t xml:space="preserve">&gt;</w:t>
      </w:r>
      <w:r>
        <w:t xml:space="preserve"> </w:t>
      </w:r>
      <w:r>
        <w:t xml:space="preserve">“</w:t>
      </w:r>
      <w:r>
        <w:t xml:space="preserve">响应于电检设备发送的切换卫星通信指令，向卫星通信模组发送激活SIM卡指令，以接收卫星通信模组根据激活SIM卡指令所反馈的SIM卡状态；当SIM卡状态为激活状态时，向卫星通信模组发送入网指令，并间隔第一预设时长后，向卫星通信模组发送入网查询指令，以接收卫星通信模组反馈的入网状态。</w:t>
      </w:r>
      <w:r>
        <w:t xml:space="preserve">”</w:t>
      </w:r>
      <w:r>
        <w:t xml:space="preserve"> </w:t>
      </w:r>
      <w:r>
        <w:t xml:space="preserve">&gt;</w:t>
      </w:r>
      <w:r>
        <w:t xml:space="preserve"> </w:t>
      </w:r>
      <w:r>
        <w:t xml:space="preserve">&gt;</w:t>
      </w:r>
      <w:r>
        <w:t xml:space="preserve"> </w:t>
      </w:r>
      <w:r>
        <w:t xml:space="preserve">“</w:t>
      </w:r>
      <w:r>
        <w:t xml:space="preserve">根据读取故障码指令，判断卫星通信SIM卡是否存在故障，得到第一判断结果，并判断车载卫星通信天线是否存在开路或短路，得到第二判断结果。</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6.3.1 系统应具备车载卫星通信系统收发能力下线检测功能，包括SIM卡状态检测、入网状态检测和故障码读取。</w:t>
      </w:r>
      <w:r>
        <w:t xml:space="preserve">”</w:t>
      </w:r>
      <w:r>
        <w:t xml:space="preserve"> </w:t>
      </w:r>
      <w:r>
        <w:t xml:space="preserve">&gt;</w:t>
      </w:r>
      <w:r>
        <w:t xml:space="preserve"> </w:t>
      </w:r>
      <w:r>
        <w:t xml:space="preserve">&gt;</w:t>
      </w:r>
      <w:r>
        <w:t xml:space="preserve"> </w:t>
      </w:r>
      <w:r>
        <w:t xml:space="preserve">“</w:t>
      </w:r>
      <w:r>
        <w:t xml:space="preserve">6.3.2 下线检测应判断卫星通信SIM卡是否存在故障，以及车载卫星通信天线是否存在开路或短路。</w:t>
      </w:r>
      <w:r>
        <w:t xml:space="preserve">”</w:t>
      </w:r>
    </w:p>
    <w:p>
      <w:pPr>
        <w:pStyle w:val="BodyText"/>
      </w:pPr>
      <w:r>
        <w:rPr>
          <w:bCs/>
          <w:b/>
        </w:rPr>
        <w:t xml:space="preserve">对应关系</w:t>
      </w:r>
      <w:r>
        <w:t xml:space="preserve">：规范条款直接引用了专利技术中的下线检测流程和检测项目。</w:t>
      </w:r>
    </w:p>
    <w:p>
      <w:r>
        <w:pict>
          <v:rect style="width:0;height:1.5pt" o:hralign="center" o:hrstd="t" o:hr="t"/>
        </w:pict>
      </w:r>
    </w:p>
    <w:bookmarkEnd w:id="42"/>
    <w:bookmarkEnd w:id="43"/>
    <w:bookmarkStart w:id="46" w:name="硬件平台技术来源分析"/>
    <w:p>
      <w:pPr>
        <w:pStyle w:val="Heading3"/>
      </w:pPr>
      <w:r>
        <w:t xml:space="preserve">4.3 硬件平台技术来源分析</w:t>
      </w:r>
    </w:p>
    <w:bookmarkStart w:id="44" w:name="金属屏蔽设计规范7.1.1节"/>
    <w:p>
      <w:pPr>
        <w:pStyle w:val="Heading4"/>
      </w:pPr>
      <w:r>
        <w:t xml:space="preserve">4.3.1 金属屏蔽设计（规范7.1.1节）</w:t>
      </w:r>
    </w:p>
    <w:p>
      <w:pPr>
        <w:pStyle w:val="FirstParagraph"/>
      </w:pPr>
      <w:r>
        <w:rPr>
          <w:bCs/>
          <w:b/>
        </w:rPr>
        <w:t xml:space="preserve">技术来源</w:t>
      </w:r>
      <w:r>
        <w:t xml:space="preserve">：技术研究方案</w:t>
      </w:r>
    </w:p>
    <w:p>
      <w:pPr>
        <w:pStyle w:val="BodyText"/>
      </w:pPr>
      <w:r>
        <w:rPr>
          <w:bCs/>
          <w:b/>
        </w:rPr>
        <w:t xml:space="preserve">技术研究方案原文</w:t>
      </w:r>
      <w:r>
        <w:t xml:space="preserve">：</w:t>
      </w:r>
      <w:r>
        <w:t xml:space="preserve"> </w:t>
      </w:r>
      <w:r>
        <w:t xml:space="preserve">&gt;</w:t>
      </w:r>
      <w:r>
        <w:t xml:space="preserve"> </w:t>
      </w:r>
      <w:r>
        <w:t xml:space="preserve">“</w:t>
      </w:r>
      <w:r>
        <w:t xml:space="preserve">设计时可以着重考虑：模块集成与金属屏蔽，将核心通信模块集成在一个金属外壳内，构成屏蔽体，抑制内部噪声外泄并抵御外部干扰。缝隙处理可以遵循λ/20等经典原则（如500MHz对应缝隙≤30mm）。</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7.1.1.1 核心通信模块应集成在一个金属外壳内，构成屏蔽体，抑制内部噪声外泄并抵御外部干扰。</w:t>
      </w:r>
      <w:r>
        <w:t xml:space="preserve">”</w:t>
      </w:r>
      <w:r>
        <w:t xml:space="preserve"> </w:t>
      </w:r>
      <w:r>
        <w:t xml:space="preserve">&gt;</w:t>
      </w:r>
      <w:r>
        <w:t xml:space="preserve"> </w:t>
      </w:r>
      <w:r>
        <w:t xml:space="preserve">&gt;</w:t>
      </w:r>
      <w:r>
        <w:t xml:space="preserve"> </w:t>
      </w:r>
      <w:r>
        <w:t xml:space="preserve">“</w:t>
      </w:r>
      <w:r>
        <w:t xml:space="preserve">7.1.1.2 屏蔽体缝隙处理应遵循λ/20原则（如500MHz对应缝隙≤30mm）。</w:t>
      </w:r>
      <w:r>
        <w:t xml:space="preserve">”</w:t>
      </w:r>
    </w:p>
    <w:p>
      <w:pPr>
        <w:pStyle w:val="BodyText"/>
      </w:pPr>
      <w:r>
        <w:rPr>
          <w:bCs/>
          <w:b/>
        </w:rPr>
        <w:t xml:space="preserve">对应关系</w:t>
      </w:r>
      <w:r>
        <w:t xml:space="preserve">：规范条款直接引用了技术方案中的屏蔽设计要求和缝隙处理原则。</w:t>
      </w:r>
    </w:p>
    <w:p>
      <w:r>
        <w:pict>
          <v:rect style="width:0;height:1.5pt" o:hralign="center" o:hrstd="t" o:hr="t"/>
        </w:pict>
      </w:r>
    </w:p>
    <w:bookmarkEnd w:id="44"/>
    <w:bookmarkStart w:id="45" w:name="连接器设计规范7.4节"/>
    <w:p>
      <w:pPr>
        <w:pStyle w:val="Heading4"/>
      </w:pPr>
      <w:r>
        <w:t xml:space="preserve">4.3.2 连接器设计（规范7.4节）</w:t>
      </w:r>
    </w:p>
    <w:p>
      <w:pPr>
        <w:pStyle w:val="FirstParagraph"/>
      </w:pPr>
      <w:r>
        <w:rPr>
          <w:bCs/>
          <w:b/>
        </w:rPr>
        <w:t xml:space="preserve">技术来源</w:t>
      </w:r>
      <w:r>
        <w:t xml:space="preserve">：技术研究方案 + 专利技术CN202421143420.0</w:t>
      </w:r>
    </w:p>
    <w:p>
      <w:pPr>
        <w:pStyle w:val="BodyText"/>
      </w:pPr>
      <w:r>
        <w:rPr>
          <w:bCs/>
          <w:b/>
        </w:rPr>
        <w:t xml:space="preserve">技术研究方案原文</w:t>
      </w:r>
      <w:r>
        <w:t xml:space="preserve">：</w:t>
      </w:r>
      <w:r>
        <w:t xml:space="preserve"> </w:t>
      </w:r>
      <w:r>
        <w:t xml:space="preserve">&gt;</w:t>
      </w:r>
      <w:r>
        <w:t xml:space="preserve"> </w:t>
      </w:r>
      <w:r>
        <w:t xml:space="preserve">“</w:t>
      </w:r>
      <w:r>
        <w:t xml:space="preserve">同时针对某些连接处可以进行可靠的连接器设计，如采用具有二次锁扣的快速插拔接口等经典电子器械设计，确保振动环境下连接的物理完整性，避免电弧干扰。</w:t>
      </w:r>
      <w:r>
        <w:t xml:space="preserve">”</w:t>
      </w:r>
    </w:p>
    <w:p>
      <w:pPr>
        <w:pStyle w:val="BodyText"/>
      </w:pPr>
      <w:r>
        <w:rPr>
          <w:bCs/>
          <w:b/>
        </w:rPr>
        <w:t xml:space="preserve">专利原文（CN202421143420.0）</w:t>
      </w:r>
      <w:r>
        <w:t xml:space="preserve">：</w:t>
      </w:r>
      <w:r>
        <w:t xml:space="preserve"> </w:t>
      </w:r>
      <w:r>
        <w:t xml:space="preserve">&gt;</w:t>
      </w:r>
      <w:r>
        <w:t xml:space="preserve"> </w:t>
      </w:r>
      <w:r>
        <w:t xml:space="preserve">“</w:t>
      </w:r>
      <w:r>
        <w:t xml:space="preserve">第一充电接口采用快速插拔结构；快速插拔结构具有二次锁扣。</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7.4.1 应采用具有二次锁扣的快速插拔接口，确保振动环境下连接的物理完整性，避免电弧干扰。</w:t>
      </w:r>
      <w:r>
        <w:t xml:space="preserve">”</w:t>
      </w:r>
    </w:p>
    <w:p>
      <w:pPr>
        <w:pStyle w:val="BodyText"/>
      </w:pPr>
      <w:r>
        <w:rPr>
          <w:bCs/>
          <w:b/>
        </w:rPr>
        <w:t xml:space="preserve">对应关系</w:t>
      </w:r>
      <w:r>
        <w:t xml:space="preserve">：规范条款综合引用了技术方案和专利技术中的连接器设计要求。</w:t>
      </w:r>
    </w:p>
    <w:p>
      <w:r>
        <w:pict>
          <v:rect style="width:0;height:1.5pt" o:hralign="center" o:hrstd="t" o:hr="t"/>
        </w:pict>
      </w:r>
    </w:p>
    <w:bookmarkEnd w:id="45"/>
    <w:bookmarkEnd w:id="46"/>
    <w:bookmarkStart w:id="48" w:name="线束布局技术来源分析"/>
    <w:p>
      <w:pPr>
        <w:pStyle w:val="Heading3"/>
      </w:pPr>
      <w:r>
        <w:t xml:space="preserve">4.4 线束布局技术来源分析</w:t>
      </w:r>
    </w:p>
    <w:bookmarkStart w:id="47" w:name="布线规范规范8.2节"/>
    <w:p>
      <w:pPr>
        <w:pStyle w:val="Heading4"/>
      </w:pPr>
      <w:r>
        <w:t xml:space="preserve">4.4.1 布线规范（规范8.2节）</w:t>
      </w:r>
    </w:p>
    <w:p>
      <w:pPr>
        <w:pStyle w:val="FirstParagraph"/>
      </w:pPr>
      <w:r>
        <w:rPr>
          <w:bCs/>
          <w:b/>
        </w:rPr>
        <w:t xml:space="preserve">技术来源</w:t>
      </w:r>
      <w:r>
        <w:t xml:space="preserve">：技术研究方案 + YD/T 4517.4-2024</w:t>
      </w:r>
    </w:p>
    <w:p>
      <w:pPr>
        <w:pStyle w:val="BodyText"/>
      </w:pPr>
      <w:r>
        <w:rPr>
          <w:bCs/>
          <w:b/>
        </w:rPr>
        <w:t xml:space="preserve">技术研究方案原文</w:t>
      </w:r>
      <w:r>
        <w:t xml:space="preserve">：</w:t>
      </w:r>
      <w:r>
        <w:t xml:space="preserve"> </w:t>
      </w:r>
      <w:r>
        <w:t xml:space="preserve">&gt;</w:t>
      </w:r>
      <w:r>
        <w:t xml:space="preserve"> </w:t>
      </w:r>
      <w:r>
        <w:t xml:space="preserve">“</w:t>
      </w:r>
      <w:r>
        <w:t xml:space="preserve">针对耦合干扰：线束通过感性/容性耦合传染噪声以及线束环路拾取/辐射噪声，《标准》中在除电源线外的导线电瞬态传导抗扰度(9.5.1)部分也作出了试验要求。</w:t>
      </w:r>
      <w:r>
        <w:t xml:space="preserve">”</w:t>
      </w:r>
      <w:r>
        <w:t xml:space="preserve"> </w:t>
      </w:r>
      <w:r>
        <w:t xml:space="preserve">&gt;</w:t>
      </w:r>
      <w:r>
        <w:t xml:space="preserve"> </w:t>
      </w:r>
      <w:r>
        <w:t xml:space="preserve">&gt;</w:t>
      </w:r>
      <w:r>
        <w:t xml:space="preserve"> </w:t>
      </w:r>
      <w:r>
        <w:t xml:space="preserve">“</w:t>
      </w:r>
      <w:r>
        <w:t xml:space="preserve">针对该问题的EMC正向设计，可以从：选用屏蔽线缆以抵御容性耦合，使用双绞线和最小化环路面积则以有效抑制感性耦合，等经典策略入手，并且要制定严格的布线规范，如源-路径-敏感体分离原则（远离干扰源线束）。</w:t>
      </w:r>
      <w:r>
        <w:t xml:space="preserve">”</w:t>
      </w:r>
    </w:p>
    <w:p>
      <w:pPr>
        <w:pStyle w:val="BodyText"/>
      </w:pPr>
      <w:r>
        <w:rPr>
          <w:bCs/>
          <w:b/>
        </w:rPr>
        <w:t xml:space="preserve">标准原文（YD/T 4517.4-2024）</w:t>
      </w:r>
      <w:r>
        <w:t xml:space="preserve">：</w:t>
      </w:r>
      <w:r>
        <w:t xml:space="preserve"> </w:t>
      </w:r>
      <w:r>
        <w:t xml:space="preserve">&gt;</w:t>
      </w:r>
      <w:r>
        <w:t xml:space="preserve"> </w:t>
      </w:r>
      <w:r>
        <w:t xml:space="preserve">“</w:t>
      </w:r>
      <w:r>
        <w:t xml:space="preserve">表12 除电源线外的导线电瞬态传导抗扰度试验要求</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8.1.1.1 敏感信号线应选用屏蔽线缆以抵御容性耦合。</w:t>
      </w:r>
      <w:r>
        <w:t xml:space="preserve">”</w:t>
      </w:r>
      <w:r>
        <w:t xml:space="preserve"> </w:t>
      </w:r>
      <w:r>
        <w:t xml:space="preserve">&gt;</w:t>
      </w:r>
      <w:r>
        <w:t xml:space="preserve"> </w:t>
      </w:r>
      <w:r>
        <w:t xml:space="preserve">&gt;</w:t>
      </w:r>
      <w:r>
        <w:t xml:space="preserve"> </w:t>
      </w:r>
      <w:r>
        <w:t xml:space="preserve">“</w:t>
      </w:r>
      <w:r>
        <w:t xml:space="preserve">8.1.2.1 应使用双绞线以有效抑制感性耦合。</w:t>
      </w:r>
      <w:r>
        <w:t xml:space="preserve">”</w:t>
      </w:r>
      <w:r>
        <w:t xml:space="preserve"> </w:t>
      </w:r>
      <w:r>
        <w:t xml:space="preserve">&gt;</w:t>
      </w:r>
      <w:r>
        <w:t xml:space="preserve"> </w:t>
      </w:r>
      <w:r>
        <w:t xml:space="preserve">&gt;</w:t>
      </w:r>
      <w:r>
        <w:t xml:space="preserve"> </w:t>
      </w:r>
      <w:r>
        <w:t xml:space="preserve">“</w:t>
      </w:r>
      <w:r>
        <w:t xml:space="preserve">8.2.1.1 应制定严格的布线规范，遵循源-路径-敏感体分离原则，敏感线束远离干扰源线束。</w:t>
      </w:r>
      <w:r>
        <w:t xml:space="preserve">”</w:t>
      </w:r>
      <w:r>
        <w:t xml:space="preserve"> </w:t>
      </w:r>
      <w:r>
        <w:t xml:space="preserve">&gt;</w:t>
      </w:r>
      <w:r>
        <w:t xml:space="preserve"> </w:t>
      </w:r>
      <w:r>
        <w:t xml:space="preserve">&gt;</w:t>
      </w:r>
      <w:r>
        <w:t xml:space="preserve"> </w:t>
      </w:r>
      <w:r>
        <w:t xml:space="preserve">“</w:t>
      </w:r>
      <w:r>
        <w:t xml:space="preserve">8.2.2.1 应最小化信号线与回流地线形成的环路面积，减少’环形天线’效应。</w:t>
      </w:r>
      <w:r>
        <w:t xml:space="preserve">”</w:t>
      </w:r>
    </w:p>
    <w:p>
      <w:pPr>
        <w:pStyle w:val="BodyText"/>
      </w:pPr>
      <w:r>
        <w:rPr>
          <w:bCs/>
          <w:b/>
        </w:rPr>
        <w:t xml:space="preserve">对应关系</w:t>
      </w:r>
      <w:r>
        <w:t xml:space="preserve">：规范条款引用了技术方案中的布线设计策略和标准中的试验要求。</w:t>
      </w:r>
    </w:p>
    <w:p>
      <w:r>
        <w:pict>
          <v:rect style="width:0;height:1.5pt" o:hralign="center" o:hrstd="t" o:hr="t"/>
        </w:pict>
      </w:r>
    </w:p>
    <w:bookmarkEnd w:id="47"/>
    <w:bookmarkEnd w:id="48"/>
    <w:bookmarkStart w:id="50" w:name="测试验证技术来源分析"/>
    <w:p>
      <w:pPr>
        <w:pStyle w:val="Heading3"/>
      </w:pPr>
      <w:r>
        <w:t xml:space="preserve">4.5 测试验证技术来源分析</w:t>
      </w:r>
    </w:p>
    <w:bookmarkStart w:id="49" w:name="性能判据规范9.3节"/>
    <w:p>
      <w:pPr>
        <w:pStyle w:val="Heading4"/>
      </w:pPr>
      <w:r>
        <w:t xml:space="preserve">4.5.1 性能判据（规范9.3节）</w:t>
      </w:r>
    </w:p>
    <w:p>
      <w:pPr>
        <w:pStyle w:val="FirstParagraph"/>
      </w:pPr>
      <w:r>
        <w:rPr>
          <w:bCs/>
          <w:b/>
        </w:rPr>
        <w:t xml:space="preserve">技术来源</w:t>
      </w:r>
      <w:r>
        <w:t xml:space="preserve">：YD/T 4517.4-2024</w:t>
      </w:r>
    </w:p>
    <w:p>
      <w:pPr>
        <w:pStyle w:val="BodyText"/>
      </w:pPr>
      <w:r>
        <w:rPr>
          <w:bCs/>
          <w:b/>
        </w:rPr>
        <w:t xml:space="preserve">标准原文（YD/T 4517.4-2024第6.2节）</w:t>
      </w:r>
      <w:r>
        <w:t xml:space="preserve">：</w:t>
      </w:r>
      <w:r>
        <w:t xml:space="preserve"> </w:t>
      </w:r>
      <w:r>
        <w:t xml:space="preserve">&gt;</w:t>
      </w:r>
      <w:r>
        <w:t xml:space="preserve"> </w:t>
      </w:r>
      <w:r>
        <w:t xml:space="preserve">“</w:t>
      </w:r>
      <w:r>
        <w:t xml:space="preserve">试验中和试验后，通信连接应保持，无用户控制功能的丧失或存储数据的丢失，DUT应正常工作，能执行其预先设计的所有功能。对于数据传输业务模式，试验中，数据吞吐量（应用层吞吐量）应不少于参考测试信道最大吞吐量的95%。</w:t>
      </w:r>
      <w:r>
        <w:t xml:space="preserve">”</w:t>
      </w:r>
    </w:p>
    <w:p>
      <w:pPr>
        <w:pStyle w:val="BodyText"/>
      </w:pPr>
      <w:r>
        <w:rPr>
          <w:bCs/>
          <w:b/>
        </w:rPr>
        <w:t xml:space="preserve">标准原文（YD/T 4517.4-2024第6.3节）</w:t>
      </w:r>
      <w:r>
        <w:t xml:space="preserve">：</w:t>
      </w:r>
      <w:r>
        <w:t xml:space="preserve"> </w:t>
      </w:r>
      <w:r>
        <w:t xml:space="preserve">&gt;</w:t>
      </w:r>
      <w:r>
        <w:t xml:space="preserve"> </w:t>
      </w:r>
      <w:r>
        <w:t xml:space="preserve">“</w:t>
      </w:r>
      <w:r>
        <w:t xml:space="preserve">试验中，无用户可察觉的通信链路丢失，DUT应正常工作，能执行其预先设计的所有功能，DUT性能可允许降低，存储数据不应丢失。试验后，DUT应自动恢复正常工作，能执行其预先设计的所有功能，无用户控制功能的丧失或存储数据的丢失，通信连接应保持。</w:t>
      </w:r>
      <w:r>
        <w:t xml:space="preserve">”</w:t>
      </w:r>
    </w:p>
    <w:p>
      <w:pPr>
        <w:pStyle w:val="BodyText"/>
      </w:pPr>
      <w:r>
        <w:rPr>
          <w:bCs/>
          <w:b/>
        </w:rPr>
        <w:t xml:space="preserve">标准原文（YD/T 4517.4-2024第6.4节）</w:t>
      </w:r>
      <w:r>
        <w:t xml:space="preserve">：</w:t>
      </w:r>
      <w:r>
        <w:t xml:space="preserve"> </w:t>
      </w:r>
      <w:r>
        <w:t xml:space="preserve">&gt;</w:t>
      </w:r>
      <w:r>
        <w:t xml:space="preserve"> </w:t>
      </w:r>
      <w:r>
        <w:t xml:space="preserve">“</w:t>
      </w:r>
      <w:r>
        <w:t xml:space="preserve">试验中，DUT性能可以允许降低，部分功能可以丧失，通信连接可中断。试验后，DUT应自动恢复正常工作，能执行其预先设计的所有功能。</w:t>
      </w:r>
      <w:r>
        <w:t xml:space="preserve">”</w:t>
      </w:r>
    </w:p>
    <w:p>
      <w:pPr>
        <w:pStyle w:val="BodyText"/>
      </w:pPr>
      <w:r>
        <w:rPr>
          <w:bCs/>
          <w:b/>
        </w:rPr>
        <w:t xml:space="preserve">规范条款</w:t>
      </w:r>
      <w:r>
        <w:t xml:space="preserve">：</w:t>
      </w:r>
      <w:r>
        <w:t xml:space="preserve"> </w:t>
      </w:r>
      <w:r>
        <w:t xml:space="preserve">&gt;</w:t>
      </w:r>
      <w:r>
        <w:t xml:space="preserve"> </w:t>
      </w:r>
      <w:r>
        <w:t xml:space="preserve">“</w:t>
      </w:r>
      <w:r>
        <w:t xml:space="preserve">9.3.1 性能判据A（最高要求）：试验中和试验后，通信连接应保持，无用户控制功能的丧失或存储数据的丢失，DUT应正常工作，能执行其预先设计的所有功能。对于数据传输业务模式，试验中，数据吞吐量（应用层吞吐量）应不少于参考测试信道最大吞吐量的95%。</w:t>
      </w:r>
      <w:r>
        <w:t xml:space="preserve">”</w:t>
      </w:r>
      <w:r>
        <w:t xml:space="preserve"> </w:t>
      </w:r>
      <w:r>
        <w:t xml:space="preserve">&gt;</w:t>
      </w:r>
      <w:r>
        <w:t xml:space="preserve"> </w:t>
      </w:r>
      <w:r>
        <w:t xml:space="preserve">&gt;</w:t>
      </w:r>
      <w:r>
        <w:t xml:space="preserve"> </w:t>
      </w:r>
      <w:r>
        <w:t xml:space="preserve">“</w:t>
      </w:r>
      <w:r>
        <w:t xml:space="preserve">9.3.2 性能判据B：试验中，无用户可察觉的通信链路丢失，DUT应正常工作，能执行其预先设计的所有功能，DUT性能可允许降低，存储数据不应丢失。试验后，DUT应自动恢复正常工作。</w:t>
      </w:r>
      <w:r>
        <w:t xml:space="preserve">”</w:t>
      </w:r>
      <w:r>
        <w:t xml:space="preserve"> </w:t>
      </w:r>
      <w:r>
        <w:t xml:space="preserve">&gt;</w:t>
      </w:r>
      <w:r>
        <w:t xml:space="preserve"> </w:t>
      </w:r>
      <w:r>
        <w:t xml:space="preserve">&gt;</w:t>
      </w:r>
      <w:r>
        <w:t xml:space="preserve"> </w:t>
      </w:r>
      <w:r>
        <w:t xml:space="preserve">“</w:t>
      </w:r>
      <w:r>
        <w:t xml:space="preserve">9.3.3 性能判据C：试验中，DUT性能可以允许降低，部分功能可以丧失，通信连接可中断。试验后，DUT应自动恢复正常工作。</w:t>
      </w:r>
      <w:r>
        <w:t xml:space="preserve">”</w:t>
      </w:r>
    </w:p>
    <w:p>
      <w:pPr>
        <w:pStyle w:val="BodyText"/>
      </w:pPr>
      <w:r>
        <w:rPr>
          <w:bCs/>
          <w:b/>
        </w:rPr>
        <w:t xml:space="preserve">对应关系</w:t>
      </w:r>
      <w:r>
        <w:t xml:space="preserve">：规范条款完整引用了标准中的性能判据原文。</w:t>
      </w:r>
    </w:p>
    <w:p>
      <w:r>
        <w:pict>
          <v:rect style="width:0;height:1.5pt" o:hralign="center" o:hrstd="t" o:hr="t"/>
        </w:pict>
      </w:r>
    </w:p>
    <w:bookmarkEnd w:id="49"/>
    <w:bookmarkEnd w:id="50"/>
    <w:bookmarkEnd w:id="51"/>
    <w:bookmarkStart w:id="66" w:name="附录a-专利原文摘录"/>
    <w:p>
      <w:pPr>
        <w:pStyle w:val="Heading2"/>
      </w:pPr>
      <w:r>
        <w:t xml:space="preserve">附录A 专利原文摘录</w:t>
      </w:r>
    </w:p>
    <w:bookmarkStart w:id="53" w:name="a.1-一汽集团专利摘录"/>
    <w:p>
      <w:pPr>
        <w:pStyle w:val="Heading3"/>
      </w:pPr>
      <w:r>
        <w:t xml:space="preserve">A.1 一汽集团专利摘录</w:t>
      </w:r>
    </w:p>
    <w:bookmarkStart w:id="52" w:name="a.1.1-cn202410892217.1---车辆卫星定位的控制方法"/>
    <w:p>
      <w:pPr>
        <w:pStyle w:val="Heading4"/>
      </w:pPr>
      <w:r>
        <w:t xml:space="preserve">A.1.1 CN202410892217.1 - 车辆卫星定位的控制方法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辆卫星定位的控制方法，其特征在于，应用于车端的车载定位通信系统，所述车端还包括车载通信主控系统和车载卫星通信系统，所述车载定位通信系统和所述车载卫星通信系统分别与所述车载通信主控系统通信连接，所述方法包括：</w:t>
      </w:r>
      <w:r>
        <w:t xml:space="preserve"> </w:t>
      </w:r>
      <w:r>
        <w:t xml:space="preserve">&gt;</w:t>
      </w:r>
      <w:r>
        <w:t xml:space="preserve"> </w:t>
      </w:r>
      <w:r>
        <w:t xml:space="preserve">&gt; 在接收到所述车端通信主控系统发送的停止定位请求时，获取卫星定位状态信息；</w:t>
      </w:r>
      <w:r>
        <w:t xml:space="preserve"> </w:t>
      </w:r>
      <w:r>
        <w:t xml:space="preserve">&gt;</w:t>
      </w:r>
      <w:r>
        <w:t xml:space="preserve"> </w:t>
      </w:r>
      <w:r>
        <w:t xml:space="preserve">&gt; 根据所述卫星定位状态信息，基于预设的卫星定位关闭条件，生成反馈请求；</w:t>
      </w:r>
      <w:r>
        <w:t xml:space="preserve"> </w:t>
      </w:r>
      <w:r>
        <w:t xml:space="preserve">&gt;</w:t>
      </w:r>
      <w:r>
        <w:t xml:space="preserve"> </w:t>
      </w:r>
      <w:r>
        <w:t xml:space="preserve">&gt; 若所述反馈请求为确认停止请求，则将卫星定位状态标志位更新为不可用状态，以终止采用卫星定位方式进行车辆定位；以及，</w:t>
      </w:r>
      <w:r>
        <w:t xml:space="preserve"> </w:t>
      </w:r>
      <w:r>
        <w:t xml:space="preserve">&gt;</w:t>
      </w:r>
      <w:r>
        <w:t xml:space="preserve"> </w:t>
      </w:r>
      <w:r>
        <w:t xml:space="preserve">&gt; 将所述反馈请求发送至所述车载通信主控系统，以供所述车载通信主控系统在确定所述反馈请求为确认停止请求时，向所述车载卫星通信系统发送通信信息，并在所述通信信息发送完成后，向所述车载通信定位系统发送信息发送完成指令；</w:t>
      </w:r>
      <w:r>
        <w:t xml:space="preserve"> </w:t>
      </w:r>
      <w:r>
        <w:t xml:space="preserve">&gt;</w:t>
      </w:r>
      <w:r>
        <w:t xml:space="preserve"> </w:t>
      </w:r>
      <w:r>
        <w:t xml:space="preserve">&gt; 接收所述信息发送完成指令，并将所述卫星定位状态标志位更新为可用状态，以启动采用所述卫星定位方式进行车辆定位。</w:t>
      </w:r>
      <w:r>
        <w:t xml:space="preserve">”</w:t>
      </w:r>
    </w:p>
    <w:p>
      <w:r>
        <w:pict>
          <v:rect style="width:0;height:1.5pt" o:hralign="center" o:hrstd="t" o:hr="t"/>
        </w:pict>
      </w:r>
    </w:p>
    <w:bookmarkEnd w:id="52"/>
    <w:bookmarkEnd w:id="53"/>
    <w:bookmarkStart w:id="56" w:name="a.2-吉利集团专利摘录"/>
    <w:p>
      <w:pPr>
        <w:pStyle w:val="Heading3"/>
      </w:pPr>
      <w:r>
        <w:t xml:space="preserve">A.2 吉利集团专利摘录</w:t>
      </w:r>
    </w:p>
    <w:bookmarkStart w:id="54" w:name="a.2.1-cn202411085031.1---车辆通信方法"/>
    <w:p>
      <w:pPr>
        <w:pStyle w:val="Heading4"/>
      </w:pPr>
      <w:r>
        <w:t xml:space="preserve">A.2.1 CN202411085031.1 - 车辆通信方法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一种车辆通信方法，其特征在于，所述车辆通信方法包括以下步骤：</w:t>
      </w:r>
      <w:r>
        <w:t xml:space="preserve"> </w:t>
      </w:r>
      <w:r>
        <w:t xml:space="preserve">&gt;</w:t>
      </w:r>
      <w:r>
        <w:t xml:space="preserve"> </w:t>
      </w:r>
      <w:r>
        <w:t xml:space="preserve">&gt; 响应于触发卫星通信功能，获取卫星短信内容；</w:t>
      </w:r>
      <w:r>
        <w:t xml:space="preserve"> </w:t>
      </w:r>
      <w:r>
        <w:t xml:space="preserve">&gt;</w:t>
      </w:r>
      <w:r>
        <w:t xml:space="preserve"> </w:t>
      </w:r>
      <w:r>
        <w:t xml:space="preserve">&gt; 通过卫星通信模块将所述卫星短信内容传输至卫星云端，以供所述卫星云端将所述卫星短信内容发送至对应的收件人。</w:t>
      </w:r>
      <w:r>
        <w:t xml:space="preserve">”</w:t>
      </w:r>
    </w:p>
    <w:bookmarkEnd w:id="54"/>
    <w:bookmarkStart w:id="55" w:name="a.2.2-cn202111272674.3---车载卫星通信系统及车辆"/>
    <w:p>
      <w:pPr>
        <w:pStyle w:val="Heading4"/>
      </w:pPr>
      <w:r>
        <w:t xml:space="preserve">A.2.2 CN202111272674.3 - 车载卫星通信系统及车辆</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一种车载卫星通信系统，其特征在于，所述系统包括：人机交互设备、基带集成设备和卫星天线；</w:t>
      </w:r>
      <w:r>
        <w:t xml:space="preserve"> </w:t>
      </w:r>
      <w:r>
        <w:t xml:space="preserve">&gt;</w:t>
      </w:r>
      <w:r>
        <w:t xml:space="preserve"> </w:t>
      </w:r>
      <w:r>
        <w:t xml:space="preserve">&gt; 所述人机交互设备与所述基带集成设备连接，所述人机交互设备用于将基于预设动作触发的控制信号发送给所述基带集成设备，其中，所述人机交互设备为终端或车载中控屏；</w:t>
      </w:r>
      <w:r>
        <w:t xml:space="preserve"> </w:t>
      </w:r>
      <w:r>
        <w:t xml:space="preserve">&gt;</w:t>
      </w:r>
      <w:r>
        <w:t xml:space="preserve"> </w:t>
      </w:r>
      <w:r>
        <w:t xml:space="preserve">&gt; 所述基带集成设备与所述卫星天线连接，用于根据接收到的所述控制信号控制所述卫星天线，实现所述卫星天线的开关、天线指向、卫星信号监测、卫星波束切换、升级或故障检测操作；</w:t>
      </w:r>
      <w:r>
        <w:t xml:space="preserve"> </w:t>
      </w:r>
      <w:r>
        <w:t xml:space="preserve">&gt;</w:t>
      </w:r>
      <w:r>
        <w:t xml:space="preserve"> </w:t>
      </w:r>
      <w:r>
        <w:t xml:space="preserve">&gt; 所述卫星天线，用于收发通信卫星的波段通信信号，实现与所述通信卫星的通信。</w:t>
      </w:r>
      <w:r>
        <w:t xml:space="preserve">”</w:t>
      </w:r>
    </w:p>
    <w:p>
      <w:pPr>
        <w:pStyle w:val="BodyText"/>
      </w:pPr>
      <w:r>
        <w:rPr>
          <w:bCs/>
          <w:b/>
        </w:rPr>
        <w:t xml:space="preserve">权利要求9</w:t>
      </w:r>
      <w:r>
        <w:t xml:space="preserve">：</w:t>
      </w:r>
      <w:r>
        <w:t xml:space="preserve"> </w:t>
      </w:r>
      <w:r>
        <w:t xml:space="preserve">&gt;</w:t>
      </w:r>
      <w:r>
        <w:t xml:space="preserve"> </w:t>
      </w:r>
      <w:r>
        <w:t xml:space="preserve">“</w:t>
      </w:r>
      <w:r>
        <w:t xml:space="preserve">根据权利要求1所述车载卫星通信系统，其特征在于，所述卫星天线为低轮廓平板阵列天线。</w:t>
      </w:r>
      <w:r>
        <w:t xml:space="preserve">”</w:t>
      </w:r>
    </w:p>
    <w:p>
      <w:r>
        <w:pict>
          <v:rect style="width:0;height:1.5pt" o:hralign="center" o:hrstd="t" o:hr="t"/>
        </w:pict>
      </w:r>
    </w:p>
    <w:bookmarkEnd w:id="55"/>
    <w:bookmarkEnd w:id="56"/>
    <w:bookmarkStart w:id="59" w:name="a.3-比亚迪专利摘录"/>
    <w:p>
      <w:pPr>
        <w:pStyle w:val="Heading3"/>
      </w:pPr>
      <w:r>
        <w:t xml:space="preserve">A.3 比亚迪专利摘录</w:t>
      </w:r>
    </w:p>
    <w:bookmarkStart w:id="57" w:name="a.3.1-cn202411150513.0---车载卫星通信系统"/>
    <w:p>
      <w:pPr>
        <w:pStyle w:val="Heading4"/>
      </w:pPr>
      <w:r>
        <w:t xml:space="preserve">A.3.1 CN202411150513.0 - 车载卫星通信系统</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一种车载卫星通信系统，其特征在于，包括：天线组、射频切换开关以及处理模块；</w:t>
      </w:r>
      <w:r>
        <w:t xml:space="preserve"> </w:t>
      </w:r>
      <w:r>
        <w:t xml:space="preserve">&gt;</w:t>
      </w:r>
      <w:r>
        <w:t xml:space="preserve"> </w:t>
      </w:r>
      <w:r>
        <w:t xml:space="preserve">&gt; 所述天线组包括多个天线单元，且不同所述天线单元的波束范围不同；</w:t>
      </w:r>
      <w:r>
        <w:t xml:space="preserve"> </w:t>
      </w:r>
      <w:r>
        <w:t xml:space="preserve">&gt;</w:t>
      </w:r>
      <w:r>
        <w:t xml:space="preserve"> </w:t>
      </w:r>
      <w:r>
        <w:t xml:space="preserve">&gt; 所述射频切换开关与所述天线组连接，受控切换所述天线组中不同天线单元的射频连接状态；</w:t>
      </w:r>
      <w:r>
        <w:t xml:space="preserve"> </w:t>
      </w:r>
      <w:r>
        <w:t xml:space="preserve">&gt;</w:t>
      </w:r>
      <w:r>
        <w:t xml:space="preserve"> </w:t>
      </w:r>
      <w:r>
        <w:t xml:space="preserve">&gt; 所述处理模块用于，采集不同天线单元接收的信号强度，并根据所述信号强度确定所述天线组中的目标天线单元，并控制所述射频切换开关与所述目标天线单元连接实现卫星通信。</w:t>
      </w:r>
      <w:r>
        <w:t xml:space="preserve">”</w:t>
      </w:r>
    </w:p>
    <w:p>
      <w:pPr>
        <w:pStyle w:val="BodyText"/>
      </w:pPr>
      <w:r>
        <w:rPr>
          <w:bCs/>
          <w:b/>
        </w:rPr>
        <w:t xml:space="preserve">权利要求8</w:t>
      </w:r>
      <w:r>
        <w:t xml:space="preserve">：</w:t>
      </w:r>
      <w:r>
        <w:t xml:space="preserve"> </w:t>
      </w:r>
      <w:r>
        <w:t xml:space="preserve">&gt;</w:t>
      </w:r>
      <w:r>
        <w:t xml:space="preserve"> </w:t>
      </w:r>
      <w:r>
        <w:t xml:space="preserve">“</w:t>
      </w:r>
      <w:r>
        <w:t xml:space="preserve">根据权利要求1～7任一项所述的系统，其特征在于，所述天线组由多个低剖面贴片天线单元阵列组成，且相邻的所述天线单元的波束范围至少在-5db处存在重叠。</w:t>
      </w:r>
      <w:r>
        <w:t xml:space="preserve">”</w:t>
      </w:r>
    </w:p>
    <w:bookmarkEnd w:id="57"/>
    <w:bookmarkStart w:id="58" w:name="a.3.2-cn202411755347.7---车辆卫星天线角度调整方法"/>
    <w:p>
      <w:pPr>
        <w:pStyle w:val="Heading4"/>
      </w:pPr>
      <w:r>
        <w:t xml:space="preserve">A.3.2 CN202411755347.7 - 车辆卫星天线角度调整方法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一种车辆卫星天线角度调整方法，其特征在于，包括：</w:t>
      </w:r>
      <w:r>
        <w:t xml:space="preserve"> </w:t>
      </w:r>
      <w:r>
        <w:t xml:space="preserve">&gt;</w:t>
      </w:r>
      <w:r>
        <w:t xml:space="preserve"> </w:t>
      </w:r>
      <w:r>
        <w:t xml:space="preserve">&gt; 基于车辆当前姿态信息建立空间坐标系，所述空间坐标系包括平面象限和空间象限；</w:t>
      </w:r>
      <w:r>
        <w:t xml:space="preserve"> </w:t>
      </w:r>
      <w:r>
        <w:t xml:space="preserve">&gt;</w:t>
      </w:r>
      <w:r>
        <w:t xml:space="preserve"> </w:t>
      </w:r>
      <w:r>
        <w:t xml:space="preserve">&gt; 基于所述空间坐标系，获取所述车辆卫星天线角度，所述车辆卫星角度包括所述车辆卫星天线在平面象限内的第一角度，以及在所述空间象限内的第二角度；</w:t>
      </w:r>
      <w:r>
        <w:t xml:space="preserve"> </w:t>
      </w:r>
      <w:r>
        <w:t xml:space="preserve">&gt;</w:t>
      </w:r>
      <w:r>
        <w:t xml:space="preserve"> </w:t>
      </w:r>
      <w:r>
        <w:t xml:space="preserve">&gt; 基于所述车辆卫星天线角度对所述车辆卫星天线进行角度调整。</w:t>
      </w:r>
      <w:r>
        <w:t xml:space="preserve">”</w:t>
      </w:r>
    </w:p>
    <w:p>
      <w:pPr>
        <w:pStyle w:val="BodyText"/>
      </w:pPr>
      <w:r>
        <w:rPr>
          <w:bCs/>
          <w:b/>
        </w:rPr>
        <w:t xml:space="preserve">权利要求3</w:t>
      </w:r>
      <w:r>
        <w:t xml:space="preserve">：</w:t>
      </w:r>
      <w:r>
        <w:t xml:space="preserve"> </w:t>
      </w:r>
      <w:r>
        <w:t xml:space="preserve">&gt;</w:t>
      </w:r>
      <w:r>
        <w:t xml:space="preserve"> </w:t>
      </w:r>
      <w:r>
        <w:t xml:space="preserve">“</w:t>
      </w:r>
      <w:r>
        <w:t xml:space="preserve">根据权利要求2所述的方法，其特征在于，所述在所述目标平面象限和所述目标空间象限内获取所述车辆卫星天线角度，包括：</w:t>
      </w:r>
      <w:r>
        <w:t xml:space="preserve"> </w:t>
      </w:r>
      <w:r>
        <w:t xml:space="preserve">&gt;</w:t>
      </w:r>
      <w:r>
        <w:t xml:space="preserve"> </w:t>
      </w:r>
      <w:r>
        <w:t xml:space="preserve">&gt; 通过二分法在所述目标平面象限和所述目标空间象限内获取所述车辆卫星天线角度。</w:t>
      </w:r>
      <w:r>
        <w:t xml:space="preserve">”</w:t>
      </w:r>
    </w:p>
    <w:p>
      <w:r>
        <w:pict>
          <v:rect style="width:0;height:1.5pt" o:hralign="center" o:hrstd="t" o:hr="t"/>
        </w:pict>
      </w:r>
    </w:p>
    <w:bookmarkEnd w:id="58"/>
    <w:bookmarkEnd w:id="59"/>
    <w:bookmarkStart w:id="62" w:name="a.4-赛力斯专利摘录"/>
    <w:p>
      <w:pPr>
        <w:pStyle w:val="Heading3"/>
      </w:pPr>
      <w:r>
        <w:t xml:space="preserve">A.4 赛力斯专利摘录</w:t>
      </w:r>
    </w:p>
    <w:bookmarkStart w:id="60" w:name="a.4.1-cn202411493441.x---车载卫星通信方法"/>
    <w:p>
      <w:pPr>
        <w:pStyle w:val="Heading4"/>
      </w:pPr>
      <w:r>
        <w:t xml:space="preserve">A.4.1 CN202411493441.X - 车载卫星通信方法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一种车载卫星通信方法，其特征在于，应用于车辆，所述车辆内配置有用于接入卫星网络的卫星通信模块和用于接入蜂窝网络的蜂窝通信模块，所述方法包括：</w:t>
      </w:r>
      <w:r>
        <w:t xml:space="preserve"> </w:t>
      </w:r>
      <w:r>
        <w:t xml:space="preserve">&gt;</w:t>
      </w:r>
      <w:r>
        <w:t xml:space="preserve"> </w:t>
      </w:r>
      <w:r>
        <w:t xml:space="preserve">&gt; 若监测到所述车辆接入的所述蜂窝网络的信号质量满足预设第一信号门限，则控制所述车辆接入所述卫星网络，使所述卫星网络保持空闲状态；</w:t>
      </w:r>
      <w:r>
        <w:t xml:space="preserve"> </w:t>
      </w:r>
      <w:r>
        <w:t xml:space="preserve">&gt;</w:t>
      </w:r>
      <w:r>
        <w:t xml:space="preserve"> </w:t>
      </w:r>
      <w:r>
        <w:t xml:space="preserve">&gt; 响应用于触发呼叫的请求指令，若所述蜂窝网络的通信中断，则利用所述卫星网络发起呼叫，使所述卫星网络进入通信状态；</w:t>
      </w:r>
      <w:r>
        <w:t xml:space="preserve"> </w:t>
      </w:r>
      <w:r>
        <w:t xml:space="preserve">&gt;</w:t>
      </w:r>
      <w:r>
        <w:t xml:space="preserve"> </w:t>
      </w:r>
      <w:r>
        <w:t xml:space="preserve">&gt; 若所述卫星网络呼叫失败，则控制所述蜂窝网络和所述卫星网络交替发起呼叫，直至呼叫成功或交替次数达到预设循环次数。</w:t>
      </w:r>
      <w:r>
        <w:t xml:space="preserve">”</w:t>
      </w:r>
    </w:p>
    <w:bookmarkEnd w:id="60"/>
    <w:bookmarkStart w:id="61" w:name="X3222ad8eb54543155e5254172c6358a8907f2f1"/>
    <w:p>
      <w:pPr>
        <w:pStyle w:val="Heading4"/>
      </w:pPr>
      <w:r>
        <w:t xml:space="preserve">A.4.2 CN202510276892.6 - 车载卫星通信系统收发能力下线检测方法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一种车载卫星通信系统收发能力下线检测方法，应用于车载TBOX，其特征在于，所述方法包括：</w:t>
      </w:r>
      <w:r>
        <w:t xml:space="preserve"> </w:t>
      </w:r>
      <w:r>
        <w:t xml:space="preserve">&gt;</w:t>
      </w:r>
      <w:r>
        <w:t xml:space="preserve"> </w:t>
      </w:r>
      <w:r>
        <w:t xml:space="preserve">&gt; 响应于电检设备发送的切换卫星通信指令，向卫星通信模组发送激活SIM卡指令，以接收所述卫星通信模组根据所述激活SIM卡指令所反馈的SIM卡状态；</w:t>
      </w:r>
      <w:r>
        <w:t xml:space="preserve"> </w:t>
      </w:r>
      <w:r>
        <w:t xml:space="preserve">&gt;</w:t>
      </w:r>
      <w:r>
        <w:t xml:space="preserve"> </w:t>
      </w:r>
      <w:r>
        <w:t xml:space="preserve">&gt; 当所述SIM卡状态为激活状态时，向所述卫星通信模组发送入网指令，并间隔第一预设时长后，向所述卫星通信模组发送入网查询指令，以接收所述卫星通信模组反馈的入网状态；</w:t>
      </w:r>
      <w:r>
        <w:t xml:space="preserve"> </w:t>
      </w:r>
      <w:r>
        <w:t xml:space="preserve">&gt;</w:t>
      </w:r>
      <w:r>
        <w:t xml:space="preserve"> </w:t>
      </w:r>
      <w:r>
        <w:t xml:space="preserve">&gt; 根据所述入网状态，确定卫星通信切换结果，并将所述卫星通信切换结果发送至所述电检设备，并接收所述电检设备发送的读取故障码指令，并根据所述读取故障码指令确定故障码读取结果并发送至所述电检设备，以使所述电检设备根据卫星通信切换结果和所述故障码读取结果，确定车载卫星通信系统收发能力下线检测结果。</w:t>
      </w:r>
      <w:r>
        <w:t xml:space="preserve">”</w:t>
      </w:r>
    </w:p>
    <w:p>
      <w:pPr>
        <w:pStyle w:val="BodyText"/>
      </w:pPr>
      <w:r>
        <w:rPr>
          <w:bCs/>
          <w:b/>
        </w:rPr>
        <w:t xml:space="preserve">权利要求4</w:t>
      </w:r>
      <w:r>
        <w:t xml:space="preserve">：</w:t>
      </w:r>
      <w:r>
        <w:t xml:space="preserve"> </w:t>
      </w:r>
      <w:r>
        <w:t xml:space="preserve">&gt;</w:t>
      </w:r>
      <w:r>
        <w:t xml:space="preserve"> </w:t>
      </w:r>
      <w:r>
        <w:t xml:space="preserve">“</w:t>
      </w:r>
      <w:r>
        <w:t xml:space="preserve">根据权利要求2所述的方法，其特征在于，所述根据所述读取故障码指令确定故障码读取结果的步骤，进一步包括：</w:t>
      </w:r>
      <w:r>
        <w:t xml:space="preserve"> </w:t>
      </w:r>
      <w:r>
        <w:t xml:space="preserve">&gt;</w:t>
      </w:r>
      <w:r>
        <w:t xml:space="preserve"> </w:t>
      </w:r>
      <w:r>
        <w:t xml:space="preserve">&gt; 根据所述读取故障码指令，判断卫星通信SIM卡是否存在故障，得到第一判断结果，并判断车载卫星通信天线是否存在开路或短路，得到第二判断结果；</w:t>
      </w:r>
      <w:r>
        <w:t xml:space="preserve"> </w:t>
      </w:r>
      <w:r>
        <w:t xml:space="preserve">&gt;</w:t>
      </w:r>
      <w:r>
        <w:t xml:space="preserve"> </w:t>
      </w:r>
      <w:r>
        <w:t xml:space="preserve">&gt; 当所述第一判断结果为是和/或所述第二判断结果为是时，生成包含故障码的所述故障码读取结果；</w:t>
      </w:r>
      <w:r>
        <w:t xml:space="preserve"> </w:t>
      </w:r>
      <w:r>
        <w:t xml:space="preserve">&gt;</w:t>
      </w:r>
      <w:r>
        <w:t xml:space="preserve"> </w:t>
      </w:r>
      <w:r>
        <w:t xml:space="preserve">&gt; 当所述第一判断结果为否且所述第二判断结果为否时，判定不存在故障码，所述故障码读取结果为空。</w:t>
      </w:r>
      <w:r>
        <w:t xml:space="preserve">”</w:t>
      </w:r>
    </w:p>
    <w:p>
      <w:r>
        <w:pict>
          <v:rect style="width:0;height:1.5pt" o:hralign="center" o:hrstd="t" o:hr="t"/>
        </w:pict>
      </w:r>
    </w:p>
    <w:bookmarkEnd w:id="61"/>
    <w:bookmarkEnd w:id="62"/>
    <w:bookmarkStart w:id="65" w:name="a.5-长安汽车专利摘录"/>
    <w:p>
      <w:pPr>
        <w:pStyle w:val="Heading3"/>
      </w:pPr>
      <w:r>
        <w:t xml:space="preserve">A.5 长安汽车专利摘录</w:t>
      </w:r>
    </w:p>
    <w:bookmarkStart w:id="63" w:name="a.5.1-cn202311559261.2---基于低轨卫星的车载通信方法"/>
    <w:p>
      <w:pPr>
        <w:pStyle w:val="Heading4"/>
      </w:pPr>
      <w:r>
        <w:t xml:space="preserve">A.5.1 CN202311559261.2 - 基于低轨卫星的车载通信方法</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一种基于低轨卫星的车载通信方法，其特征在于，所述方法包括：</w:t>
      </w:r>
      <w:r>
        <w:t xml:space="preserve"> </w:t>
      </w:r>
      <w:r>
        <w:t xml:space="preserve">&gt;</w:t>
      </w:r>
      <w:r>
        <w:t xml:space="preserve"> </w:t>
      </w:r>
      <w:r>
        <w:t xml:space="preserve">&gt; 获取原始通信连接请求，并确定卫星通信模组是否工作正常；</w:t>
      </w:r>
      <w:r>
        <w:t xml:space="preserve"> </w:t>
      </w:r>
      <w:r>
        <w:t xml:space="preserve">&gt;</w:t>
      </w:r>
      <w:r>
        <w:t xml:space="preserve"> </w:t>
      </w:r>
      <w:r>
        <w:t xml:space="preserve">&gt; 若所述卫星通信模组正常，对所述原始通信连接请求进行转译，得到通信连接请求；</w:t>
      </w:r>
      <w:r>
        <w:t xml:space="preserve"> </w:t>
      </w:r>
      <w:r>
        <w:t xml:space="preserve">&gt;</w:t>
      </w:r>
      <w:r>
        <w:t xml:space="preserve"> </w:t>
      </w:r>
      <w:r>
        <w:t xml:space="preserve">&gt; 根据所述通信连接请求的类型，从所述卫星通信模组包括的至少两个数据通道中，选择目标数据通道；</w:t>
      </w:r>
      <w:r>
        <w:t xml:space="preserve"> </w:t>
      </w:r>
      <w:r>
        <w:t xml:space="preserve">&gt;</w:t>
      </w:r>
      <w:r>
        <w:t xml:space="preserve"> </w:t>
      </w:r>
      <w:r>
        <w:t xml:space="preserve">&gt; 将所述通信连接请求发送至所述卫星通信模组，以使所述卫星通信模组将所述卫星通信请求发送至卫星通信服务器；</w:t>
      </w:r>
      <w:r>
        <w:t xml:space="preserve"> </w:t>
      </w:r>
      <w:r>
        <w:t xml:space="preserve">&gt;</w:t>
      </w:r>
      <w:r>
        <w:t xml:space="preserve"> </w:t>
      </w:r>
      <w:r>
        <w:t xml:space="preserve">&gt; 响应于从所述卫星通信模组接收到所述卫星通信服务器返回的表示通信业务通道建立成功的通知信息，获取待发送的卫星通信数据，并将所述卫星通信数据经过所述目标数据通道发送至所述卫星通信模组，以使所述卫星通信模组将所述卫星通信数据发送至所述卫星通信服务器。</w:t>
      </w:r>
      <w:r>
        <w:t xml:space="preserve">”</w:t>
      </w:r>
    </w:p>
    <w:bookmarkEnd w:id="63"/>
    <w:bookmarkStart w:id="64" w:name="a.5.2-cn202421143420.0---卫星通讯终端及车辆"/>
    <w:p>
      <w:pPr>
        <w:pStyle w:val="Heading4"/>
      </w:pPr>
      <w:r>
        <w:t xml:space="preserve">A.5.2 CN202421143420.0 - 卫星通讯终端及车辆</w:t>
      </w:r>
    </w:p>
    <w:p>
      <w:pPr>
        <w:pStyle w:val="FirstParagraph"/>
      </w:pPr>
      <w:r>
        <w:rPr>
          <w:bCs/>
          <w:b/>
        </w:rPr>
        <w:t xml:space="preserve">权利要求1</w:t>
      </w:r>
      <w:r>
        <w:t xml:space="preserve">：</w:t>
      </w:r>
      <w:r>
        <w:t xml:space="preserve"> </w:t>
      </w:r>
      <w:r>
        <w:t xml:space="preserve">&gt;</w:t>
      </w:r>
      <w:r>
        <w:t xml:space="preserve"> </w:t>
      </w:r>
      <w:r>
        <w:t xml:space="preserve">“</w:t>
      </w:r>
      <w:r>
        <w:t xml:space="preserve">一种卫星通讯终端，其特征在于，包括：低轨卫星收发天线(21)；低轨卫星收发基带模块(22)，与所述低轨卫星收发天线(21)连接；功能模块，与所述低轨卫星收发天线(21)连接；电源管理模块(26)，与所述低轨卫星收发天线(21)、所述低轨卫星收发基带模块(22)和所述功能模块连接；第一外壳，设置在所述低轨卫星收发天线(21)、所述低轨卫星收发基带模块(22)、所述功能模块和所述电源管理模块(26)的外围，在所述第一外壳上设有第一充电接口，所述电源管理模块(26)通过所述第一充电接口与车辆蓄电池(15)或外接电池(12)连接。</w:t>
      </w:r>
      <w:r>
        <w:t xml:space="preserve">”</w:t>
      </w:r>
    </w:p>
    <w:p>
      <w:pPr>
        <w:pStyle w:val="BodyText"/>
      </w:pPr>
      <w:r>
        <w:rPr>
          <w:bCs/>
          <w:b/>
        </w:rPr>
        <w:t xml:space="preserve">权利要求2</w:t>
      </w:r>
      <w:r>
        <w:t xml:space="preserve">：</w:t>
      </w:r>
      <w:r>
        <w:t xml:space="preserve"> </w:t>
      </w:r>
      <w:r>
        <w:t xml:space="preserve">&gt;</w:t>
      </w:r>
      <w:r>
        <w:t xml:space="preserve"> </w:t>
      </w:r>
      <w:r>
        <w:t xml:space="preserve">“</w:t>
      </w:r>
      <w:r>
        <w:t xml:space="preserve">根据权利要求1所述的卫星通讯终端，其特征在于，所述第一充电接口采用快速插拔结构。</w:t>
      </w:r>
      <w:r>
        <w:t xml:space="preserve">”</w:t>
      </w:r>
    </w:p>
    <w:p>
      <w:pPr>
        <w:pStyle w:val="BodyText"/>
      </w:pPr>
      <w:r>
        <w:rPr>
          <w:bCs/>
          <w:b/>
        </w:rPr>
        <w:t xml:space="preserve">权利要求3</w:t>
      </w:r>
      <w:r>
        <w:t xml:space="preserve">：</w:t>
      </w:r>
      <w:r>
        <w:t xml:space="preserve"> </w:t>
      </w:r>
      <w:r>
        <w:t xml:space="preserve">&gt;</w:t>
      </w:r>
      <w:r>
        <w:t xml:space="preserve"> </w:t>
      </w:r>
      <w:r>
        <w:t xml:space="preserve">“</w:t>
      </w:r>
      <w:r>
        <w:t xml:space="preserve">根据权利要求2所述的卫星通讯终端，其特征在于，所述快速插拔结构具有二次锁扣。</w:t>
      </w:r>
      <w:r>
        <w:t xml:space="preserve">”</w:t>
      </w:r>
    </w:p>
    <w:p>
      <w:r>
        <w:pict>
          <v:rect style="width:0;height:1.5pt" o:hralign="center" o:hrstd="t" o:hr="t"/>
        </w:pict>
      </w:r>
    </w:p>
    <w:bookmarkEnd w:id="64"/>
    <w:bookmarkEnd w:id="65"/>
    <w:bookmarkEnd w:id="66"/>
    <w:bookmarkStart w:id="82" w:name="附录b-标准原文摘录"/>
    <w:p>
      <w:pPr>
        <w:pStyle w:val="Heading2"/>
      </w:pPr>
      <w:r>
        <w:t xml:space="preserve">附录B 标准原文摘录</w:t>
      </w:r>
    </w:p>
    <w:bookmarkStart w:id="72" w:name="b.1-ydt-4517.4-2024-核心条款摘录"/>
    <w:p>
      <w:pPr>
        <w:pStyle w:val="Heading3"/>
      </w:pPr>
      <w:r>
        <w:t xml:space="preserve">B.1 YD/T 4517.4-2024 核心条款摘录</w:t>
      </w:r>
    </w:p>
    <w:bookmarkStart w:id="67" w:name="b.1.1-性能判据a第6.2节"/>
    <w:p>
      <w:pPr>
        <w:pStyle w:val="Heading4"/>
      </w:pPr>
      <w:r>
        <w:t xml:space="preserve">B.1.1 性能判据A（第6.2节）</w:t>
      </w:r>
    </w:p>
    <w:p>
      <w:pPr>
        <w:pStyle w:val="BlockText"/>
      </w:pPr>
      <w:r>
        <w:t xml:space="preserve">“试验应在DUT业务模式下进行。</w:t>
      </w:r>
    </w:p>
    <w:p>
      <w:pPr>
        <w:pStyle w:val="BlockText"/>
      </w:pPr>
      <w:r>
        <w:t xml:space="preserve">试验前，应建立通信连接。</w:t>
      </w:r>
    </w:p>
    <w:p>
      <w:pPr>
        <w:pStyle w:val="BlockText"/>
      </w:pPr>
      <w:r>
        <w:t xml:space="preserve">试验中和试验后，通信连接应保持，无用户控制功能的丧失或存储数据的丢失，DUT应正常工作，能执行其预先设计的所有功能。</w:t>
      </w:r>
    </w:p>
    <w:p>
      <w:pPr>
        <w:pStyle w:val="BlockText"/>
      </w:pPr>
      <w:r>
        <w:t xml:space="preserve">对于数据传输业务模式，试验中，数据吞吐量（应用层吞吐量）应不小于参考测试信道最大吞吐量的95%，吞吐量的测试见附录B。</w:t>
      </w:r>
    </w:p>
    <w:p>
      <w:pPr>
        <w:pStyle w:val="BlockText"/>
      </w:pPr>
      <w:r>
        <w:t xml:space="preserve">对于语音业务模式，试验中，当使用音频突破测量方法，通过一个中心频率为1 kHz，带宽为200 Hz的音频BPF测量语音输出电平时，上行链路和下行链路语音输出电平应至少比在音频校准时记录的语音输出信号的参考电平低35dB，音频突破测量方法和音频校准见附录A。</w:t>
      </w:r>
    </w:p>
    <w:p>
      <w:pPr>
        <w:pStyle w:val="BlockText"/>
      </w:pPr>
      <w:r>
        <w:t xml:space="preserve">试验还应在DUT空闲模式下进行，试验时发信机不应有误操作，DUT应正常工作，能执行其预先设计的所有功能。”</w:t>
      </w:r>
    </w:p>
    <w:bookmarkEnd w:id="67"/>
    <w:bookmarkStart w:id="68" w:name="b.1.2-辐射杂散骚扰限值第8.1.2.1节表4"/>
    <w:p>
      <w:pPr>
        <w:pStyle w:val="Heading4"/>
      </w:pPr>
      <w:r>
        <w:t xml:space="preserve">B.1.2 辐射杂散骚扰限值（第8.1.2.1节表4）</w:t>
      </w:r>
    </w:p>
    <w:p>
      <w:pPr>
        <w:pStyle w:val="BlockText"/>
      </w:pPr>
      <w:r>
        <w:t xml:space="preserve">“表4 机壳端口的辐射杂散限值（业务模式）</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频率范围</w:t>
            </w:r>
          </w:p>
        </w:tc>
        <w:tc>
          <w:tcPr/>
          <w:p>
            <w:pPr>
              <w:pStyle w:val="Compact"/>
              <w:jc w:val="left"/>
            </w:pPr>
            <w:r>
              <w:t xml:space="preserve">有效辐射功率（e.r.p.）电平</w:t>
            </w:r>
          </w:p>
        </w:tc>
      </w:tr>
      <w:tr>
        <w:tc>
          <w:tcPr/>
          <w:p>
            <w:pPr>
              <w:pStyle w:val="Compact"/>
              <w:jc w:val="left"/>
            </w:pPr>
            <w:r>
              <w:t xml:space="preserve">30 MHz～1 GHz</w:t>
            </w:r>
          </w:p>
        </w:tc>
        <w:tc>
          <w:tcPr/>
          <w:p>
            <w:pPr>
              <w:pStyle w:val="Compact"/>
              <w:jc w:val="left"/>
            </w:pPr>
            <w:r>
              <w:t xml:space="preserve">-36 dBm</w:t>
            </w:r>
          </w:p>
        </w:tc>
      </w:tr>
      <w:tr>
        <w:tc>
          <w:tcPr/>
          <w:p>
            <w:pPr>
              <w:pStyle w:val="Compact"/>
              <w:jc w:val="left"/>
            </w:pPr>
            <w:r>
              <w:t xml:space="preserve">&gt;1 GHz</w:t>
            </w:r>
          </w:p>
        </w:tc>
        <w:tc>
          <w:tcPr/>
          <w:p>
            <w:pPr>
              <w:pStyle w:val="Compact"/>
              <w:jc w:val="left"/>
            </w:pPr>
            <w:r>
              <w:t xml:space="preserve">-30 dBm</w:t>
            </w:r>
          </w:p>
        </w:tc>
      </w:tr>
      <w:tr>
        <w:tc>
          <w:tcPr/>
          <w:p>
            <w:pPr>
              <w:pStyle w:val="Compact"/>
              <w:jc w:val="left"/>
            </w:pPr>
            <w:r>
              <w:t xml:space="preserve">FL–2×BWc &lt; f &lt; FU+2×BWc</w:t>
            </w:r>
          </w:p>
        </w:tc>
        <w:tc>
          <w:tcPr/>
          <w:p>
            <w:pPr>
              <w:pStyle w:val="Compact"/>
              <w:jc w:val="left"/>
            </w:pPr>
            <w:r>
              <w:t xml:space="preserve">不要求</w:t>
            </w:r>
          </w:p>
        </w:tc>
      </w:tr>
    </w:tbl>
    <w:p>
      <w:pPr>
        <w:pStyle w:val="BlockText"/>
      </w:pPr>
      <w:r>
        <w:t xml:space="preserve">注：BWc对于信道设备为信道带宽，对于非信道设备为发信机发射频率的占用带宽。”</w:t>
      </w:r>
    </w:p>
    <w:bookmarkEnd w:id="68"/>
    <w:bookmarkStart w:id="69" w:name="b.1.3-电磁辐射抗扰度第9.2.1节"/>
    <w:p>
      <w:pPr>
        <w:pStyle w:val="Heading4"/>
      </w:pPr>
      <w:r>
        <w:t xml:space="preserve">B.1.3 电磁辐射抗扰度（第9.2.1节）</w:t>
      </w:r>
    </w:p>
    <w:p>
      <w:pPr>
        <w:pStyle w:val="BlockText"/>
      </w:pPr>
      <w:r>
        <w:t xml:space="preserve">“试验应在400 MHz～6 GHz频率范围内进行，频率增加的步长应为前一频率的2%，每个频点的驻留时间应不短于DUT动作及响应所需的时间，且不得短于1s；</w:t>
      </w:r>
    </w:p>
    <w:p>
      <w:pPr>
        <w:pStyle w:val="BlockText"/>
      </w:pPr>
      <w:r>
        <w:t xml:space="preserve">试验应使用下列试验信号：</w:t>
      </w:r>
    </w:p>
    <w:p>
      <w:pPr>
        <w:pStyle w:val="BlockText"/>
      </w:pPr>
      <w:r>
        <w:t xml:space="preserve">a）400 MHz～6 GHz，未调制正弦波；</w:t>
      </w:r>
    </w:p>
    <w:p>
      <w:pPr>
        <w:pStyle w:val="BlockText"/>
      </w:pPr>
      <w:r>
        <w:t xml:space="preserve">b）400 MHz～800 MHz，调制频率为1 kHz，调制深度为80%的调幅正弦波；</w:t>
      </w:r>
    </w:p>
    <w:p>
      <w:pPr>
        <w:pStyle w:val="BlockText"/>
      </w:pPr>
      <w:r>
        <w:t xml:space="preserve">d）800 MHz～6 GHz，脉冲宽度为577 μs，周期为4600 μs的脉冲调制正弦波；</w:t>
      </w:r>
    </w:p>
    <w:p>
      <w:pPr>
        <w:pStyle w:val="BlockText"/>
      </w:pPr>
      <w:r>
        <w:t xml:space="preserve">在400 MHz～6 GHz的90%以上频段内，试验场强为30 V/m（均方根值），其他剩余频段内，试验场强不低于25 V/m（均方根值）。”</w:t>
      </w:r>
    </w:p>
    <w:bookmarkEnd w:id="69"/>
    <w:bookmarkStart w:id="70" w:name="b.1.4-大电流注入抗扰度第9.3.1节"/>
    <w:p>
      <w:pPr>
        <w:pStyle w:val="Heading4"/>
      </w:pPr>
      <w:r>
        <w:t xml:space="preserve">B.1.4 大电流注入抗扰度（第9.3.1节）</w:t>
      </w:r>
    </w:p>
    <w:p>
      <w:pPr>
        <w:pStyle w:val="BlockText"/>
      </w:pPr>
      <w:r>
        <w:t xml:space="preserve">“试验应在1 MHz～400 MHz的频率范围内进行，频率增加的步长应为前一频率的5%，每个频点的驻留时间应不短于DUT动作及响应所需的时间，且不得短于1s；</w:t>
      </w:r>
    </w:p>
    <w:p>
      <w:pPr>
        <w:pStyle w:val="BlockText"/>
      </w:pPr>
      <w:r>
        <w:t xml:space="preserve">试验信号为1 kHz，调制深度为80%的调幅正弦波；</w:t>
      </w:r>
    </w:p>
    <w:p>
      <w:pPr>
        <w:pStyle w:val="BlockText"/>
      </w:pPr>
      <w:r>
        <w:t xml:space="preserve">在1 MHz～400 MHz的90%以上频段内，试验电流为60 mA（均方根值），其他剩余频段内，试验场强不低于50 mA（均方根值）。”</w:t>
      </w:r>
    </w:p>
    <w:bookmarkEnd w:id="70"/>
    <w:bookmarkStart w:id="71" w:name="b.1.5-除电源线外的导线电瞬态传导抗扰度第9.5.1节表12"/>
    <w:p>
      <w:pPr>
        <w:pStyle w:val="Heading4"/>
      </w:pPr>
      <w:r>
        <w:t xml:space="preserve">B.1.5 除电源线外的导线电瞬态传导抗扰度（第9.5.1节表12）</w:t>
      </w:r>
    </w:p>
    <w:p>
      <w:pPr>
        <w:pStyle w:val="BlockText"/>
      </w:pPr>
      <w:r>
        <w:t xml:space="preserve">“表12 除电源线外的导线电瞬态传导抗扰度试验要求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试验脉冲</w:t>
            </w:r>
          </w:p>
        </w:tc>
        <w:tc>
          <w:tcPr/>
          <w:p>
            <w:pPr>
              <w:pStyle w:val="Compact"/>
              <w:jc w:val="left"/>
            </w:pPr>
            <w:r>
              <w:t xml:space="preserve">试验方法</w:t>
            </w:r>
          </w:p>
        </w:tc>
        <w:tc>
          <w:tcPr/>
          <w:p>
            <w:pPr>
              <w:pStyle w:val="Compact"/>
              <w:jc w:val="left"/>
            </w:pPr>
            <w:r>
              <w:t xml:space="preserve">12V系统试验电压</w:t>
            </w:r>
          </w:p>
        </w:tc>
        <w:tc>
          <w:tcPr/>
          <w:p>
            <w:pPr>
              <w:pStyle w:val="Compact"/>
              <w:jc w:val="left"/>
            </w:pPr>
            <w:r>
              <w:t xml:space="preserve">24V系统试验电压</w:t>
            </w:r>
          </w:p>
        </w:tc>
      </w:tr>
      <w:tr>
        <w:tc>
          <w:tcPr/>
          <w:p>
            <w:pPr>
              <w:pStyle w:val="Compact"/>
              <w:jc w:val="left"/>
            </w:pPr>
            <w:r>
              <w:t xml:space="preserve">快速脉冲</w:t>
            </w:r>
          </w:p>
        </w:tc>
        <w:tc>
          <w:tcPr/>
          <w:p>
            <w:pPr>
              <w:pStyle w:val="Compact"/>
              <w:jc w:val="left"/>
            </w:pPr>
            <w:r>
              <w:t xml:space="preserve">DCC/CCC</w:t>
            </w:r>
          </w:p>
        </w:tc>
        <w:tc>
          <w:tcPr/>
          <w:p>
            <w:pPr>
              <w:pStyle w:val="Compact"/>
              <w:jc w:val="left"/>
            </w:pPr>
            <w:r>
              <w:t xml:space="preserve">-40 V / +30 V</w:t>
            </w:r>
          </w:p>
        </w:tc>
        <w:tc>
          <w:tcPr/>
          <w:p>
            <w:pPr>
              <w:pStyle w:val="Compact"/>
              <w:jc w:val="left"/>
            </w:pPr>
            <w:r>
              <w:t xml:space="preserve">-56 V / +56 V</w:t>
            </w:r>
          </w:p>
        </w:tc>
      </w:tr>
      <w:tr>
        <w:tc>
          <w:tcPr/>
          <w:p>
            <w:pPr>
              <w:pStyle w:val="Compact"/>
              <w:jc w:val="left"/>
            </w:pPr>
            <w:r>
              <w:t xml:space="preserve">正慢速脉冲</w:t>
            </w:r>
          </w:p>
        </w:tc>
        <w:tc>
          <w:tcPr/>
          <w:p>
            <w:pPr>
              <w:pStyle w:val="Compact"/>
              <w:jc w:val="left"/>
            </w:pPr>
            <w:r>
              <w:t xml:space="preserve">DCC</w:t>
            </w:r>
          </w:p>
        </w:tc>
        <w:tc>
          <w:tcPr/>
          <w:p>
            <w:pPr>
              <w:pStyle w:val="Compact"/>
              <w:jc w:val="left"/>
            </w:pPr>
            <w:r>
              <w:t xml:space="preserve">+23 V</w:t>
            </w:r>
          </w:p>
        </w:tc>
        <w:tc>
          <w:tcPr/>
          <w:p>
            <w:pPr>
              <w:pStyle w:val="Compact"/>
              <w:jc w:val="left"/>
            </w:pPr>
            <w:r>
              <w:t xml:space="preserve">+35 V</w:t>
            </w:r>
          </w:p>
        </w:tc>
      </w:tr>
      <w:tr>
        <w:tc>
          <w:tcPr/>
          <w:p>
            <w:pPr>
              <w:pStyle w:val="Compact"/>
              <w:jc w:val="left"/>
            </w:pPr>
            <w:r>
              <w:t xml:space="preserve">负慢速脉冲</w:t>
            </w:r>
          </w:p>
        </w:tc>
        <w:tc>
          <w:tcPr/>
          <w:p>
            <w:pPr>
              <w:pStyle w:val="Compact"/>
              <w:jc w:val="left"/>
            </w:pPr>
            <w:r>
              <w:t xml:space="preserve">DCC</w:t>
            </w:r>
          </w:p>
        </w:tc>
        <w:tc>
          <w:tcPr/>
          <w:p>
            <w:pPr>
              <w:pStyle w:val="Compact"/>
              <w:jc w:val="left"/>
            </w:pPr>
            <w:r>
              <w:t xml:space="preserve">-23 V</w:t>
            </w:r>
          </w:p>
        </w:tc>
        <w:tc>
          <w:tcPr/>
          <w:p>
            <w:pPr>
              <w:pStyle w:val="Compact"/>
              <w:jc w:val="left"/>
            </w:pPr>
            <w:r>
              <w:t xml:space="preserve">-35 V</w:t>
            </w:r>
          </w:p>
        </w:tc>
      </w:tr>
      <w:tr>
        <w:tc>
          <w:tcPr/>
          <w:p>
            <w:pPr>
              <w:pStyle w:val="Compact"/>
              <w:jc w:val="left"/>
            </w:pPr>
            <w:r>
              <w:t xml:space="preserve">正慢速脉冲</w:t>
            </w:r>
          </w:p>
        </w:tc>
        <w:tc>
          <w:tcPr/>
          <w:p>
            <w:pPr>
              <w:pStyle w:val="Compact"/>
              <w:jc w:val="left"/>
            </w:pPr>
            <w:r>
              <w:t xml:space="preserve">ICC</w:t>
            </w:r>
          </w:p>
        </w:tc>
        <w:tc>
          <w:tcPr/>
          <w:p>
            <w:pPr>
              <w:pStyle w:val="Compact"/>
              <w:jc w:val="left"/>
            </w:pPr>
            <w:r>
              <w:t xml:space="preserve">+5 V</w:t>
            </w:r>
          </w:p>
        </w:tc>
        <w:tc>
          <w:tcPr/>
          <w:p>
            <w:pPr>
              <w:pStyle w:val="Compact"/>
              <w:jc w:val="left"/>
            </w:pPr>
            <w:r>
              <w:t xml:space="preserve">+8 V</w:t>
            </w:r>
          </w:p>
        </w:tc>
      </w:tr>
      <w:tr>
        <w:tc>
          <w:tcPr/>
          <w:p>
            <w:pPr>
              <w:pStyle w:val="Compact"/>
              <w:jc w:val="left"/>
            </w:pPr>
            <w:r>
              <w:t xml:space="preserve">负慢速脉冲</w:t>
            </w:r>
          </w:p>
        </w:tc>
        <w:tc>
          <w:tcPr/>
          <w:p>
            <w:pPr>
              <w:pStyle w:val="Compact"/>
              <w:jc w:val="left"/>
            </w:pPr>
            <w:r>
              <w:t xml:space="preserve">ICC</w:t>
            </w:r>
          </w:p>
        </w:tc>
        <w:tc>
          <w:tcPr/>
          <w:p>
            <w:pPr>
              <w:pStyle w:val="Compact"/>
              <w:jc w:val="left"/>
            </w:pPr>
            <w:r>
              <w:t xml:space="preserve">-5 V</w:t>
            </w:r>
          </w:p>
        </w:tc>
        <w:tc>
          <w:tcPr/>
          <w:p>
            <w:pPr>
              <w:pStyle w:val="Compact"/>
              <w:jc w:val="left"/>
            </w:pPr>
            <w:r>
              <w:t xml:space="preserve">-8 V</w:t>
            </w:r>
          </w:p>
        </w:tc>
      </w:tr>
    </w:tbl>
    <w:p>
      <w:r>
        <w:pict>
          <v:rect style="width:0;height:1.5pt" o:hralign="center" o:hrstd="t" o:hr="t"/>
        </w:pict>
      </w:r>
    </w:p>
    <w:bookmarkEnd w:id="71"/>
    <w:bookmarkEnd w:id="72"/>
    <w:bookmarkStart w:id="81" w:name="b.2-技术研究方案原文摘录"/>
    <w:p>
      <w:pPr>
        <w:pStyle w:val="Heading3"/>
      </w:pPr>
      <w:r>
        <w:t xml:space="preserve">B.2 技术研究方案原文摘录</w:t>
      </w:r>
    </w:p>
    <w:bookmarkStart w:id="73" w:name="b.2.1-系统架构特点第3.1.1节"/>
    <w:p>
      <w:pPr>
        <w:pStyle w:val="Heading4"/>
      </w:pPr>
      <w:r>
        <w:t xml:space="preserve">B.2.1 系统架构特点（第3.1.1节）</w:t>
      </w:r>
    </w:p>
    <w:p>
      <w:pPr>
        <w:pStyle w:val="BlockText"/>
      </w:pPr>
      <w:r>
        <w:t xml:space="preserve">“</w:t>
      </w:r>
      <w:r>
        <w:t xml:space="preserve">车载低轨卫星通信系统内部或周围同时集成了多个共存的射频前端，如：卫星通信发射机/接收机、GNSS接收机、蜂窝通信模块（4G/5G）等。它们在一个相对狭小的空间内同时工作。</w:t>
      </w:r>
      <w:r>
        <w:t xml:space="preserve">”</w:t>
      </w:r>
    </w:p>
    <w:bookmarkEnd w:id="73"/>
    <w:bookmarkStart w:id="74" w:name="b.2.2-自干扰问题分析第3.1.2节"/>
    <w:p>
      <w:pPr>
        <w:pStyle w:val="Heading4"/>
      </w:pPr>
      <w:r>
        <w:t xml:space="preserve">B.2.2 自干扰问题分析（第3.1.2节）</w:t>
      </w:r>
    </w:p>
    <w:p>
      <w:pPr>
        <w:pStyle w:val="BlockText"/>
      </w:pPr>
      <w:r>
        <w:t xml:space="preserve">“</w:t>
      </w:r>
      <w:r>
        <w:t xml:space="preserve">自干扰问题：车载低轨卫星通信系统内部的不同模块同时工作在相邻频段时，容易产生自干扰问题，如：卫星通信发射模块一般会淹没邻近频段的GNSS接收（极微弱信号），导致定位漂移。系统内自干扰（如卫星发射干扰GNSS）的直接后果就是通信连接中断或性能降级。</w:t>
      </w:r>
      <w:r>
        <w:t xml:space="preserve">”</w:t>
      </w:r>
    </w:p>
    <w:p>
      <w:pPr>
        <w:pStyle w:val="BlockText"/>
      </w:pPr>
      <w:r>
        <w:t xml:space="preserve">“</w:t>
      </w:r>
      <w:r>
        <w:t xml:space="preserve">针对这一问题，事后在电路板级别加滤波器难以根本解决这种系统级、芯片级别的干扰。可以从系统架构层面就采取EMC正向设计策略，如可在卫星通信系统大功率发射时，通过系统指令暂时抑制或关闭敏感的卫星定位接收功能，规避同频/邻频干扰，等时域隔离的设计方案。</w:t>
      </w:r>
      <w:r>
        <w:t xml:space="preserve">”</w:t>
      </w:r>
    </w:p>
    <w:bookmarkEnd w:id="74"/>
    <w:bookmarkStart w:id="75" w:name="b.2.3-天线与射频前端特点第3.2.1节"/>
    <w:p>
      <w:pPr>
        <w:pStyle w:val="Heading4"/>
      </w:pPr>
      <w:r>
        <w:t xml:space="preserve">B.2.3 天线与射频前端特点（第3.2.1节）</w:t>
      </w:r>
    </w:p>
    <w:p>
      <w:pPr>
        <w:pStyle w:val="BlockText"/>
      </w:pPr>
      <w:r>
        <w:t xml:space="preserve">“</w:t>
      </w:r>
      <w:r>
        <w:t xml:space="preserve">车载低轨卫星通信系统的天线与射频前端具有高功率发射与高灵敏度接收并存的特点，这一特点极易导致发生辐射发射与辐射抗扰度测试不达标的问题。该系统通常采用多阵元平面阵列天线，通过波束赋形技术实现空间选择性。</w:t>
      </w:r>
      <w:r>
        <w:t xml:space="preserve">”</w:t>
      </w:r>
    </w:p>
    <w:bookmarkEnd w:id="75"/>
    <w:bookmarkStart w:id="76" w:name="b.2.4-波束赋形设计策略第3.2.2节"/>
    <w:p>
      <w:pPr>
        <w:pStyle w:val="Heading4"/>
      </w:pPr>
      <w:r>
        <w:t xml:space="preserve">B.2.4 波束赋形设计策略（第3.2.2节）</w:t>
      </w:r>
    </w:p>
    <w:p>
      <w:pPr>
        <w:pStyle w:val="BlockText"/>
      </w:pPr>
      <w:r>
        <w:t xml:space="preserve">“</w:t>
      </w:r>
      <w:r>
        <w:t xml:space="preserve">通过设计波束赋形：可以控制能量方向并抑制带外杂散，降低了非期望方向的杂散辐射。通过进行射频链路滤波设计：如使用SAW滤波器、双工器等，可以抑制带外噪声和杂散。</w:t>
      </w:r>
      <w:r>
        <w:t xml:space="preserve">”</w:t>
      </w:r>
    </w:p>
    <w:p>
      <w:pPr>
        <w:pStyle w:val="BlockText"/>
      </w:pPr>
      <w:r>
        <w:t xml:space="preserve">“</w:t>
      </w:r>
      <w:r>
        <w:t xml:space="preserve">针对该项问题可以对于天线在空间选择性技术上进行EMC正向设计方案的考量，如设计波束赋形在干扰方向形成’零点’的能力，增强天线抗干扰的能力。</w:t>
      </w:r>
      <w:r>
        <w:t xml:space="preserve">”</w:t>
      </w:r>
    </w:p>
    <w:bookmarkEnd w:id="76"/>
    <w:bookmarkStart w:id="77" w:name="b.2.5-硬件平台特点第3.3.1节"/>
    <w:p>
      <w:pPr>
        <w:pStyle w:val="Heading4"/>
      </w:pPr>
      <w:r>
        <w:t xml:space="preserve">B.2.5 硬件平台特点（第3.3.1节）</w:t>
      </w:r>
    </w:p>
    <w:p>
      <w:pPr>
        <w:pStyle w:val="BlockText"/>
      </w:pPr>
      <w:r>
        <w:t xml:space="preserve">“</w:t>
      </w:r>
      <w:r>
        <w:t xml:space="preserve">车载低轨卫星通信系统硬件平台采用数字基带与射频前端混合集成架构，在有限空间内实现了多功能模块的高度集成。其硬件平台是高频数字电路、高速处理器、高精度模拟射频电路的混合体。</w:t>
      </w:r>
      <w:r>
        <w:t xml:space="preserve">”</w:t>
      </w:r>
    </w:p>
    <w:bookmarkEnd w:id="77"/>
    <w:bookmarkStart w:id="78" w:name="b.2.6-屏蔽设计策略第3.3.2节"/>
    <w:p>
      <w:pPr>
        <w:pStyle w:val="Heading4"/>
      </w:pPr>
      <w:r>
        <w:t xml:space="preserve">B.2.6 屏蔽设计策略（第3.3.2节）</w:t>
      </w:r>
    </w:p>
    <w:p>
      <w:pPr>
        <w:pStyle w:val="BlockText"/>
      </w:pPr>
      <w:r>
        <w:t xml:space="preserve">“</w:t>
      </w:r>
      <w:r>
        <w:t xml:space="preserve">设计时可以着重考虑：模块集成与金属屏蔽，将核心通信模块集成在一个金属外壳内，构成屏蔽体，抑制内部噪声外泄并抵御外部干扰。缝隙处理可以遵循λ/20等经典原则（如500MHz对应缝隙≤30mm）。</w:t>
      </w:r>
      <w:r>
        <w:t xml:space="preserve">”</w:t>
      </w:r>
    </w:p>
    <w:p>
      <w:pPr>
        <w:pStyle w:val="BlockText"/>
      </w:pPr>
      <w:r>
        <w:t xml:space="preserve">“</w:t>
      </w:r>
      <w:r>
        <w:t xml:space="preserve">同时针对某些连接处可以进行可靠的连接器设计，如采用具有二次锁扣的快速插拔接口等经典电子器械设计，确保振动环境下连接的物理完整性，避免电弧干扰。</w:t>
      </w:r>
      <w:r>
        <w:t xml:space="preserve">”</w:t>
      </w:r>
    </w:p>
    <w:bookmarkEnd w:id="78"/>
    <w:bookmarkStart w:id="79" w:name="b.2.7-线束布局特点第3.4.1节"/>
    <w:p>
      <w:pPr>
        <w:pStyle w:val="Heading4"/>
      </w:pPr>
      <w:r>
        <w:t xml:space="preserve">B.2.7 线束布局特点（第3.4.1节）</w:t>
      </w:r>
    </w:p>
    <w:p>
      <w:pPr>
        <w:pStyle w:val="BlockText"/>
      </w:pPr>
      <w:r>
        <w:t xml:space="preserve">“</w:t>
      </w:r>
      <w:r>
        <w:t xml:space="preserve">在车载低轨卫星通信系统中，线束具有传输距离长、类型多样化特点，在复杂的车载电磁环境中需要与多种线束并行布线。</w:t>
      </w:r>
      <w:r>
        <w:t xml:space="preserve">”</w:t>
      </w:r>
    </w:p>
    <w:bookmarkEnd w:id="79"/>
    <w:bookmarkStart w:id="80" w:name="b.2.8-布线规范策略第3.4.2节"/>
    <w:p>
      <w:pPr>
        <w:pStyle w:val="Heading4"/>
      </w:pPr>
      <w:r>
        <w:t xml:space="preserve">B.2.8 布线规范策略（第3.4.2节）</w:t>
      </w:r>
    </w:p>
    <w:p>
      <w:pPr>
        <w:pStyle w:val="BlockText"/>
      </w:pPr>
      <w:r>
        <w:t xml:space="preserve">“</w:t>
      </w:r>
      <w:r>
        <w:t xml:space="preserve">针对该问题的EMC正向设计，可以从：选用屏蔽线缆以抵御容性耦合，使用双绞线和最小化环路面积则以有效抑制感性耦合，等经典策略入手，并且要制定严格的布线规范，如源-路径-敏感体分离原则（远离干扰源线束）。</w:t>
      </w:r>
      <w:r>
        <w:t xml:space="preserve">”</w:t>
      </w:r>
    </w:p>
    <w:p>
      <w:r>
        <w:pict>
          <v:rect style="width:0;height:1.5pt" o:hralign="center" o:hrstd="t" o:hr="t"/>
        </w:pict>
      </w:r>
    </w:p>
    <w:bookmarkEnd w:id="80"/>
    <w:bookmarkEnd w:id="81"/>
    <w:bookmarkEnd w:id="82"/>
    <w:bookmarkStart w:id="87" w:name="编制说明"/>
    <w:p>
      <w:pPr>
        <w:pStyle w:val="Heading2"/>
      </w:pPr>
      <w:r>
        <w:t xml:space="preserve">编制说明</w:t>
      </w:r>
    </w:p>
    <w:bookmarkStart w:id="83" w:name="编制依据"/>
    <w:p>
      <w:pPr>
        <w:pStyle w:val="Heading3"/>
      </w:pPr>
      <w:r>
        <w:t xml:space="preserve">1. 编制依据</w:t>
      </w:r>
    </w:p>
    <w:p>
      <w:pPr>
        <w:pStyle w:val="FirstParagraph"/>
      </w:pPr>
      <w:r>
        <w:t xml:space="preserve">本对照文件依据《车载低轨卫星通信系统EMC正向设计技术研究方案》（最终稿）编制，确保规范中所有技术条款均有明确的专利或标准来源。</w:t>
      </w:r>
    </w:p>
    <w:bookmarkEnd w:id="83"/>
    <w:bookmarkStart w:id="84" w:name="对照原则"/>
    <w:p>
      <w:pPr>
        <w:pStyle w:val="Heading3"/>
      </w:pPr>
      <w:r>
        <w:t xml:space="preserve">2. 对照原则</w:t>
      </w:r>
    </w:p>
    <w:p>
      <w:pPr>
        <w:numPr>
          <w:ilvl w:val="0"/>
          <w:numId w:val="1002"/>
        </w:numPr>
      </w:pPr>
      <w:r>
        <w:rPr>
          <w:bCs/>
          <w:b/>
        </w:rPr>
        <w:t xml:space="preserve">直接引用</w:t>
      </w:r>
      <w:r>
        <w:t xml:space="preserve">：规范条款直接采用专利或标准的原文表述</w:t>
      </w:r>
    </w:p>
    <w:p>
      <w:pPr>
        <w:numPr>
          <w:ilvl w:val="0"/>
          <w:numId w:val="1002"/>
        </w:numPr>
      </w:pPr>
      <w:r>
        <w:rPr>
          <w:bCs/>
          <w:b/>
        </w:rPr>
        <w:t xml:space="preserve">技术转化</w:t>
      </w:r>
      <w:r>
        <w:t xml:space="preserve">：将专利技术转化为规范的技术要求</w:t>
      </w:r>
    </w:p>
    <w:p>
      <w:pPr>
        <w:numPr>
          <w:ilvl w:val="0"/>
          <w:numId w:val="1002"/>
        </w:numPr>
      </w:pPr>
      <w:r>
        <w:rPr>
          <w:bCs/>
          <w:b/>
        </w:rPr>
        <w:t xml:space="preserve">限值引用</w:t>
      </w:r>
      <w:r>
        <w:t xml:space="preserve">：直接引用标准中的限值和试验方法</w:t>
      </w:r>
    </w:p>
    <w:bookmarkEnd w:id="84"/>
    <w:bookmarkStart w:id="85" w:name="使用说明"/>
    <w:p>
      <w:pPr>
        <w:pStyle w:val="Heading3"/>
      </w:pPr>
      <w:r>
        <w:t xml:space="preserve">3. 使用说明</w:t>
      </w:r>
    </w:p>
    <w:p>
      <w:pPr>
        <w:pStyle w:val="FirstParagraph"/>
      </w:pPr>
      <w:r>
        <w:t xml:space="preserve">本对照文件应与《车载低轨卫星通信系统EMC性能正向设计规范》配套使用，当规范条款存在理解歧义时，应以本对照文件中标注的原文为准。</w:t>
      </w:r>
    </w:p>
    <w:bookmarkEnd w:id="85"/>
    <w:bookmarkStart w:id="86" w:name="知识产权声明"/>
    <w:p>
      <w:pPr>
        <w:pStyle w:val="Heading3"/>
      </w:pPr>
      <w:r>
        <w:t xml:space="preserve">4. 知识产权声明</w:t>
      </w:r>
    </w:p>
    <w:p>
      <w:pPr>
        <w:pStyle w:val="FirstParagraph"/>
      </w:pPr>
      <w:r>
        <w:t xml:space="preserve">本规范引用专利技术仅用于技术说明，实施本规范涉及的专利技术需获得专利权人的许可。</w:t>
      </w:r>
    </w:p>
    <w:p>
      <w:r>
        <w:pict>
          <v:rect style="width:0;height:1.5pt" o:hralign="center" o:hrstd="t" o:hr="t"/>
        </w:pict>
      </w:r>
    </w:p>
    <w:p>
      <w:pPr>
        <w:pStyle w:val="FirstParagraph"/>
      </w:pPr>
      <w:r>
        <w:rPr>
          <w:bCs/>
          <w:b/>
        </w:rPr>
        <w:t xml:space="preserve">文件编制</w:t>
      </w:r>
      <w:r>
        <w:t xml:space="preserve">：中国第一汽车股份有限公司智能网联研究院</w:t>
      </w:r>
    </w:p>
    <w:p>
      <w:pPr>
        <w:pStyle w:val="BodyText"/>
      </w:pPr>
      <w:r>
        <w:rPr>
          <w:bCs/>
          <w:b/>
        </w:rPr>
        <w:t xml:space="preserve">文件审核</w:t>
      </w:r>
      <w:r>
        <w:t xml:space="preserve">：XXX</w:t>
      </w:r>
    </w:p>
    <w:p>
      <w:pPr>
        <w:pStyle w:val="BodyText"/>
      </w:pPr>
      <w:r>
        <w:rPr>
          <w:bCs/>
          <w:b/>
        </w:rPr>
        <w:t xml:space="preserve">文件批准</w:t>
      </w:r>
      <w:r>
        <w:t xml:space="preserve">：XXX</w:t>
      </w:r>
    </w:p>
    <w:p>
      <w:pPr>
        <w:pStyle w:val="BodyText"/>
      </w:pPr>
      <w:r>
        <w:rPr>
          <w:bCs/>
          <w:b/>
        </w:rPr>
        <w:t xml:space="preserve">生效日期</w:t>
      </w:r>
      <w:r>
        <w:t xml:space="preserve">：20XX年XX月XX日</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2026-02-10T07:20:24Z</dcterms:created>
  <dcterms:modified xsi:type="dcterms:W3CDTF">2026-02-10T07:20:24Z</dcterms:modified>
</cp:coreProperties>
</file>

<file path=docProps/custom.xml><?xml version="1.0" encoding="utf-8"?>
<Properties xmlns="http://schemas.openxmlformats.org/officeDocument/2006/custom-properties" xmlns:vt="http://schemas.openxmlformats.org/officeDocument/2006/docPropsVTypes"/>
</file>