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C3C49">
      <w:pPr>
        <w:jc w:val="center"/>
      </w:pPr>
      <w:r>
        <w:rPr>
          <w:rFonts w:ascii="Times New Roman" w:hAnsi="Times New Roman" w:eastAsia="黑体"/>
          <w:b/>
          <w:i w:val="0"/>
          <w:sz w:val="36"/>
        </w:rPr>
        <w:t>基于GA-GAN的城市无人机通信劣化评估与极端场景生成</w:t>
      </w:r>
    </w:p>
    <w:p w14:paraId="5EBF5628"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3"/>
        </w:rPr>
        <w:t>Second Version with Deterministic LoS, Calibrated Interferers, FPC Interface and Nakagami Aggregation</w:t>
      </w:r>
    </w:p>
    <w:p w14:paraId="06C24B03"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摘要</w:t>
      </w:r>
    </w:p>
    <w:p w14:paraId="2532F913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针对城市无人机通信极端退化评估的论文第二版写作问题，对原有偏综述、偏模板化的文稿进行了重构。重构后的主线不再停留在“无人机通信场景复杂”这一泛化判断，而是直接落到本工程已经实现的三类硬事实：其一，地图存在时链路可见性由线段与建筑体的几何交点判定；其二，干扰源不是抽象噪声项，而是按频段、功率、活动度、部署语义和EIRP-equivalent口径逐类标定；其三，蜂窝UE上行功率与聚合干扰并非简单常数，而分别通过保留闭环项的FPC接口和Nakagami-m矩匹配聚合进入功率域评估链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[1,5,6,7,8,17,20]</w:t>
      </w:r>
    </w:p>
    <w:p w14:paraId="1DB3FC83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在建模层，本文首先给出面向高度变量的服务功率与干扰功率联合表达，并证明无人机高度 h 与功率裕量 M(h) 不具有单调关系。根本原因不是单一的自由空间路径损耗，而是三类机理的叠加：服务链路与干扰链路的三维距离同时随 h 改变；连线交点法下的LoS指示量在越过楼顶时发生离散切换；不同类别干扰源的高度因子与频谱耦合系数导致各干扰分量对 h 的导数符号并不一致。因此，工程上不能把“提高高度”或“压低高度”当作显然成立的结论，而必须进行显式搜索。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[2,3,4,5,6]</w:t>
      </w:r>
    </w:p>
    <w:p w14:paraId="76811C7C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在工程映射层，本文把 `_ue_ul_fpc_power_dbm()`、`_nakagami_aggregate_interference_mw()`、`_interference_path_loss_db()`、`calculate_power_margin_components()` 以及 `run_ga_samples()`、`train_gan()`、`run_comparison()` 等关键函数统一收拢到同一叙述链。当前demo结果显示，GA样本的平均综合劣化值为 0.4528，相对随机样本提高 5.70%；GAN样本为 0.4300，相对随机样本提高 0.38%。在 AERPAW 与 Dryad 两套公开5G实测数据上，模型最坏区域的平均SINR分别比实测轨迹低 26.77 dB 和 23.43 dB，平均吞吐量分别下降 97.63% 与 96.04%。这些结果表明，该框架更适合被定义为“面向最坏工况边界的评估与搜索工具”，而不是简单的轨迹回放器。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[16,17,18]</w:t>
      </w:r>
    </w:p>
    <w:p w14:paraId="2EF59F11">
      <w:r>
        <w:rPr>
          <w:rFonts w:ascii="Times New Roman" w:hAnsi="Times New Roman" w:eastAsia="黑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无人机通信；连线交点法；干扰源标定；闭环功控接口；Nakagami-m；功率裕量；GA；GAN；实测对齐</w:t>
      </w:r>
    </w:p>
    <w:p w14:paraId="3C35F1AE">
      <w:pPr>
        <w:sectPr>
          <w:pgSz w:w="12240" w:h="15840"/>
          <w:pgMar w:top="1440" w:right="1417" w:bottom="1440" w:left="1701" w:header="720" w:footer="720" w:gutter="0"/>
          <w:cols w:space="720" w:num="1"/>
          <w:docGrid w:linePitch="360" w:charSpace="0"/>
        </w:sectPr>
      </w:pPr>
    </w:p>
    <w:p w14:paraId="4BD366E9"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第一章 研究对象、问题定义与第二版写作边界</w:t>
      </w:r>
    </w:p>
    <w:p w14:paraId="75072570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第二版的出发点是纠正第一版中两类最突出的问题。第一类问题是“技术词汇被写出来了，但实现口径没有被写清楚”，例如把LoS概率模型写成主引擎，而实际上当前工程在有建筑地图时使用的是确定性的几何遮挡判定；第二类问题是“提到了功控、Nakagami、标定，却没有给出任何从公式到代码的闭环证据”，导致文字看上去像综述而不是工程论文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[5,6,7,8,17]</w:t>
      </w:r>
    </w:p>
    <w:p w14:paraId="3C2517B4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因此，本文的研究对象被重新界定为：在给定城市场景、建筑集合、地面站、无人机轨迹变量和可控/背景干扰源的条件下，建立一条从场景生成、干扰源标定、传播建模、功率域指标计算到GA/GAN最坏样本搜索及公开实测边界校核的一体化链路。与传统“只给一个A2G平均路损公式”的写法不同，本文强调的是工程可执行性和证据闭环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[1,2,3,7,8,16,17,18]</w:t>
      </w:r>
    </w:p>
    <w:p w14:paraId="0C903944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第二版在写作边界上坚持四个原则。第一，只把工程中真实实现的机制写成“已实现”；第二，只把有文献或规格书锚点的数值写成“已标定”；第三，对保留了接口但默认未激活的机制，必须明确写成“接口保留”而不是“已完成动态仿真”；第四，对仍属于场景参数的量，只能写成“工程默认值”或“待进一步外场标定”，不得虚构为已有论文定值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[7,8,10,11,12,13,14,15]</w:t>
      </w:r>
    </w:p>
    <w:p w14:paraId="63F31339"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第二章 无人机特点分析、非单调性与研究必要性</w:t>
      </w:r>
    </w:p>
    <w:p w14:paraId="197DDB7F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无人机通信不同于传统地面蜂窝链路的关键，不在于“节点更高”这一单一结论，而在于高度 h 会同时作用于有用链路和干扰链路。对服务站 s 而言，三维距离满足式（1）；若地图存在，则LoS指示量不再由概率抽样给出，而由式（2）表示的几何遮挡关系决定。当连线与任一建筑体相交时，χ_LoS=0；否则 χ_LoS=1。于是服务链路平均路径损耗和接收功率分别由式（3）和式（4）给出。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[2,3,5,6]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1202"/>
      </w:tblGrid>
      <w:tr w14:paraId="65C8E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33D6F9E8">
            <w:pPr>
              <w:jc w:val="center"/>
            </w:pPr>
            <w:r>
              <w:drawing>
                <wp:inline distT="0" distB="0" distL="114300" distR="114300">
                  <wp:extent cx="5029200" cy="7277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2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2FA4B874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(1)</w:t>
            </w:r>
          </w:p>
        </w:tc>
      </w:tr>
      <w:tr w14:paraId="30805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4945FF24">
            <w:pPr>
              <w:jc w:val="center"/>
            </w:pPr>
            <w:r>
              <w:drawing>
                <wp:inline distT="0" distB="0" distL="114300" distR="114300">
                  <wp:extent cx="5029200" cy="7277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2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2F8C55B9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(2)</w:t>
            </w:r>
          </w:p>
        </w:tc>
      </w:tr>
      <w:tr w14:paraId="462D2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5971CC98">
            <w:pPr>
              <w:jc w:val="center"/>
            </w:pPr>
            <w:r>
              <w:drawing>
                <wp:inline distT="0" distB="0" distL="114300" distR="114300">
                  <wp:extent cx="5029200" cy="6375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37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3F100261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(3)</w:t>
            </w:r>
          </w:p>
        </w:tc>
      </w:tr>
      <w:tr w14:paraId="2A5CB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1860C29F">
            <w:pPr>
              <w:jc w:val="center"/>
            </w:pPr>
            <w:r>
              <w:drawing>
                <wp:inline distT="0" distB="0" distL="114300" distR="114300">
                  <wp:extent cx="5029200" cy="72771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2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0D5D0E87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(4)</w:t>
            </w:r>
          </w:p>
        </w:tc>
      </w:tr>
    </w:tbl>
    <w:p w14:paraId="10FA8C94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对干扰源 i 而言，问题更复杂。当前工程不是把所有干扰都压成一个“平均干扰温度”，而是先对每个干扰源分别计算路径损耗、室内附加损耗、建筑进入损耗、高度因子与频谱耦合，再在功率域聚合。式（5）给出了单个干扰分量的路径损耗表达，式（6）给出了进入线性域之后的干扰强度。这里的 η_f(Δf_i) 使“高功率但异频”的干扰源有可能弱于“中等功率但同频”的干扰源，因此干扰主导项本身会随高度和频谱关系切换。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[5,6,10,17]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1202"/>
      </w:tblGrid>
      <w:tr w14:paraId="365C3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243677E6">
            <w:pPr>
              <w:jc w:val="center"/>
            </w:pPr>
            <w:r>
              <w:drawing>
                <wp:inline distT="0" distB="0" distL="114300" distR="114300">
                  <wp:extent cx="5029200" cy="5003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0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1D396C84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(5)</w:t>
            </w:r>
          </w:p>
        </w:tc>
      </w:tr>
      <w:tr w14:paraId="65617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09A69001">
            <w:pPr>
              <w:jc w:val="center"/>
            </w:pPr>
            <w:r>
              <w:drawing>
                <wp:inline distT="0" distB="0" distL="114300" distR="114300">
                  <wp:extent cx="5029200" cy="66865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6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6B194712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(6)</w:t>
            </w:r>
          </w:p>
        </w:tc>
      </w:tr>
    </w:tbl>
    <w:p w14:paraId="7EA8961E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一旦把高度 h 作为自变量，就可以看出“高度越大越好”或“高度越小越好”都不成立。对于固定遮挡状态下的某个干扰源，路径损耗关于高度的导数可以写成式（16）；总干扰关于高度的导数则满足式（17）。如果 i 是地面同频源，则随着无人机升高，几何遮挡可能消失、LoS指示量从0跳到1，同时代码中的地面高度因子从 0.9、1.1 变化到 1.3，这会推高该干扰分量。若 i 是屋顶小基站，则当无人机高度逐渐超过其部署高度区间时，屋顶源的高度因子又可能下降，从而压低该干扰分量。不同分量导数符号相反时，I(h) 的总导数显然无法保持单号。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[2,3,4,17,20]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1202"/>
      </w:tblGrid>
      <w:tr w14:paraId="325F9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5C869A24">
            <w:pPr>
              <w:jc w:val="center"/>
            </w:pPr>
            <w:r>
              <w:drawing>
                <wp:inline distT="0" distB="0" distL="114300" distR="114300">
                  <wp:extent cx="5029200" cy="4394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39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4E5DEF9B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(16)</w:t>
            </w:r>
          </w:p>
        </w:tc>
      </w:tr>
      <w:tr w14:paraId="7AEB3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46CE29D0">
            <w:pPr>
              <w:jc w:val="center"/>
            </w:pPr>
            <w:r>
              <w:drawing>
                <wp:inline distT="0" distB="0" distL="114300" distR="114300">
                  <wp:extent cx="5029200" cy="5111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11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273F4931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(17)</w:t>
            </w:r>
          </w:p>
        </w:tc>
      </w:tr>
    </w:tbl>
    <w:p w14:paraId="191852BC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图1给出了一个与工程同口径的示意算例。该算例中，服务站高度为25 m，障碍建筑顶高为70 m，地面与屋顶干扰源同时存在。结果显示，功率裕量在 h≈80 m 处达到局部最差点，而直到 h≈174 m 才真正越过楼顶并稳定进入无遮挡区。也就是说，在“尚未完全摆脱遮挡、但已被若干干扰源看到”的高度区间内，系统最容易落入最坏工况。这正是本课题必须做显式搜索而不能靠单调经验判定的根本原因。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[2,3,4]</w:t>
      </w:r>
    </w:p>
    <w:p w14:paraId="607D2834">
      <w:pPr>
        <w:jc w:val="center"/>
      </w:pPr>
      <w:r>
        <w:drawing>
          <wp:inline distT="0" distB="0" distL="114300" distR="114300">
            <wp:extent cx="5760720" cy="4197985"/>
            <wp:effectExtent l="0" t="0" r="190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A2F7"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图1 连线交点法下服务功率、聚合干扰与功率裕量随高度变化的示意算例</w:t>
      </w:r>
    </w:p>
    <w:p w14:paraId="06720241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从论文叙述角度看，这一节必须把“高度影响LoS概率”的老式说法修正为“高度改变服务链路与多类干扰链路的几何关系，并在地图存在时经由二值LoS指示量触发分段切换”。如果继续沿用单一概率模型的描述，就会掩盖本工程真正的技术出发点：最坏工况不是平均意义上的空地覆盖问题，而是几何遮挡、频谱耦合和多源干扰主导项切换共同造成的边界问题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[3,4,7,8]</w:t>
      </w:r>
    </w:p>
    <w:p w14:paraId="01CD9D12"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第三章 场景生成、传播建模与连线交点法LoS口径</w:t>
      </w:r>
    </w:p>
    <w:p w14:paraId="0FAD274C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场景底座由 `InterferenceSourceConfig`、`Building` 与 `DroneCommProblem` 三部分共同构成。建筑统计参数延续 α–β–γ 的城市形态参数化：α 描述建筑覆盖率，β 描述建筑密度，γ 给出建筑高度尺度。代码在建筑生成阶段根据区域面积和 β 确定建筑数量，再用 Rayleigh 高度分布与平面尺寸扰动生成建筑体集合，从而获得可用于遮挡判断的显式三维几何。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[2,3]</w:t>
      </w:r>
    </w:p>
    <w:p w14:paraId="03E1545E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需要特别澄清的是，工程中 `calculate_los_probability()` 并没有被废弃，但它的职责已经从“主LoS模型”下降为“概率后备模型”。当 `los_indicator_mode` 设置为 `deterministic_if_map` 且 `buildings` 非空时，`is_los()` 通过 `_is_segment_blocked_by_buildings()` 或其朴素版本直接判定线段是否与任一建筑棱柱相交；只有在无地图、显式要求 probabilistic 模式，或希望与文献概率模型做基准对照时，`calculate_los_probability()` 才会进入计算链。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[2,3,4,7]</w:t>
      </w:r>
    </w:p>
    <w:p w14:paraId="16B2FC3E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这一区别必须在论文中单独写清。因为从数学上看，概率LoS模型给出的是 0 到 1 之间的连续 P_LoS，而当前工程一旦进入有地图模式，实际进入链路预算的是二值 χ_LoS。于是服务链路和干扰链路的损耗函数都从“光滑概率加权曲线”变成了“由几何事件驱动的分段函数”。正是这种口径变化，使第二章中关于非单调性的论证成立。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[4,5,6,7]</w:t>
      </w:r>
    </w:p>
    <w:p w14:paraId="316DF85E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在传播附加项方面，工程实现并没有把“室内源”“穿墙源”和“屋顶源”混为一谈。若干扰源位于室内，则 `_interference_path_loss_db()` 在FSPL和LoS/NLoS附加损耗之外，还会串联 ITU-R P.1238 的室内距离损耗项与 ITU-R P.2109 的建筑进入损耗项；若源位于室外但与无人机之间存在建筑交点，则直接令 χ_LoS=0。也就是说，本文采用的不是单一公式，而是 `FSPL + LoS/NLoS + 高度因子 + P.1238 + P.2109` 的组件化链路预算。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[5,6]</w:t>
      </w:r>
    </w:p>
    <w:p w14:paraId="0018EA86">
      <w:pPr>
        <w:jc w:val="center"/>
      </w:pPr>
      <w:r>
        <w:drawing>
          <wp:inline distT="0" distB="0" distL="114300" distR="114300">
            <wp:extent cx="5669280" cy="5798185"/>
            <wp:effectExtent l="0" t="0" r="762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9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6D20"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图2 参数化城市几何、建筑集合与无人机—干扰源联合布局示意</w:t>
      </w:r>
    </w:p>
    <w:p w14:paraId="230A465D"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第四章 干扰源建模标定：文献锚点、工程口径与不确定项边界</w:t>
      </w:r>
    </w:p>
    <w:p w14:paraId="72F229B3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工程的干扰源建模不是“先随机生成一批点，再给它们随便赋功率”。相反，它遵循一条比较严格的证据链：先确定干扰源属于哪一类物理发射体，再为该类别分别找到频率、功率、活动度、空间密度、部署高度和语义位置的文献/标准锚点，最后映射到代码中的 `frequency`、`power_range`、`activity`、`coverage_radius`、`height_distribution` 与 `sources` 元数据字段。最关键的口径约束是：当前链路预算把 `power_range(dBm)` 直接作为发射端 `P_tx[dBm]` 使用，因此论文中必须统一写成 EIRP-equivalent dBm，而不能在一处写导出功率、另一处写EIRP，导致量纲混乱。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[10,12,13,14,15]</w:t>
      </w:r>
    </w:p>
    <w:p w14:paraId="304222DE"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表1 干扰源标定证据链与工程映射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4EE6A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12B786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干扰源</w:t>
            </w:r>
          </w:p>
        </w:tc>
        <w:tc>
          <w:tcPr>
            <w:tcW w:w="2268" w:type="dxa"/>
          </w:tcPr>
          <w:p w14:paraId="12328E6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已写入工程的关键标定因子</w:t>
            </w:r>
          </w:p>
        </w:tc>
        <w:tc>
          <w:tcPr>
            <w:tcW w:w="3402" w:type="dxa"/>
          </w:tcPr>
          <w:p w14:paraId="1A0C08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文献/截图证据</w:t>
            </w:r>
          </w:p>
        </w:tc>
        <w:tc>
          <w:tcPr>
            <w:tcW w:w="2438" w:type="dxa"/>
          </w:tcPr>
          <w:p w14:paraId="5D1D950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代码入口</w:t>
            </w:r>
          </w:p>
        </w:tc>
      </w:tr>
      <w:tr w14:paraId="59B12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vAlign w:val="center"/>
          </w:tcPr>
          <w:p w14:paraId="3FEB8C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Wi-Fi 2.4/5.8 GHz AP</w:t>
            </w:r>
          </w:p>
        </w:tc>
        <w:tc>
          <w:tcPr>
            <w:tcW w:w="2268" w:type="dxa"/>
            <w:vAlign w:val="center"/>
          </w:tcPr>
          <w:p w14:paraId="7EC05D1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频段、EIRP下界、beacon活动度、热点密度示例</w:t>
            </w:r>
          </w:p>
        </w:tc>
        <w:tc>
          <w:tcPr>
            <w:tcW w:w="3402" w:type="dxa"/>
            <w:vAlign w:val="center"/>
          </w:tcPr>
          <w:p w14:paraId="205871D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47 CFR §15.247；What Where Wi；Reliability of Wi-Fi/LTE/5G-Based UAV RC Links；截图：fcc_15_247_*.png、wifi_ap_table2_*.png、uav_rc_wifi_beacon_102_4ms.png</w:t>
            </w:r>
          </w:p>
        </w:tc>
        <w:tc>
          <w:tcPr>
            <w:tcW w:w="2438" w:type="dxa"/>
            <w:vAlign w:val="center"/>
          </w:tcPr>
          <w:p w14:paraId="7E0952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UAV_GA.py:60-104, 1939-1977, 2044-2085</w:t>
            </w:r>
          </w:p>
        </w:tc>
      </w:tr>
      <w:tr w14:paraId="16E8F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vAlign w:val="center"/>
          </w:tcPr>
          <w:p w14:paraId="2691EF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5G NR gNB</w:t>
            </w:r>
          </w:p>
        </w:tc>
        <w:tc>
          <w:tcPr>
            <w:tcW w:w="2268" w:type="dxa"/>
            <w:vAlign w:val="center"/>
          </w:tcPr>
          <w:p w14:paraId="05B3AC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n78频段、20/24/36 dBm小站锚点、0.70活动因子</w:t>
            </w:r>
          </w:p>
        </w:tc>
        <w:tc>
          <w:tcPr>
            <w:tcW w:w="3402" w:type="dxa"/>
            <w:vAlign w:val="center"/>
          </w:tcPr>
          <w:p w14:paraId="37AFA3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 38.913；截图：tr138913_p27_power_46dBm_23dBm.png、dominance_n78_midband.png</w:t>
            </w:r>
          </w:p>
        </w:tc>
        <w:tc>
          <w:tcPr>
            <w:tcW w:w="2438" w:type="dxa"/>
            <w:vAlign w:val="center"/>
          </w:tcPr>
          <w:p w14:paraId="4069C3A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UAV_GA.py:117-141, 1939-1977, 2044-2079</w:t>
            </w:r>
          </w:p>
        </w:tc>
      </w:tr>
      <w:tr w14:paraId="7496D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vAlign w:val="center"/>
          </w:tcPr>
          <w:p w14:paraId="37CEDA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蜂窝UE上行</w:t>
            </w:r>
          </w:p>
        </w:tc>
        <w:tc>
          <w:tcPr>
            <w:tcW w:w="2268" w:type="dxa"/>
            <w:vAlign w:val="center"/>
          </w:tcPr>
          <w:p w14:paraId="32AEC4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Pmax、P0候选、α分段、闭环项接口</w:t>
            </w:r>
          </w:p>
        </w:tc>
        <w:tc>
          <w:tcPr>
            <w:tcW w:w="3402" w:type="dxa"/>
            <w:vAlign w:val="center"/>
          </w:tcPr>
          <w:p w14:paraId="25ED0C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 36.777；截图：emf_ul_power_control.png、3gpp_tr36777_aerial_ue_height.png</w:t>
            </w:r>
          </w:p>
        </w:tc>
        <w:tc>
          <w:tcPr>
            <w:tcW w:w="2438" w:type="dxa"/>
            <w:vAlign w:val="center"/>
          </w:tcPr>
          <w:p w14:paraId="7C518E1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UAV_GA.py:143-168, 1980-2091</w:t>
            </w:r>
          </w:p>
        </w:tc>
      </w:tr>
      <w:tr w14:paraId="0649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vAlign w:val="center"/>
          </w:tcPr>
          <w:p w14:paraId="70F77F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GNSS干扰器</w:t>
            </w:r>
          </w:p>
        </w:tc>
        <w:tc>
          <w:tcPr>
            <w:tcW w:w="2268" w:type="dxa"/>
            <w:vAlign w:val="center"/>
          </w:tcPr>
          <w:p w14:paraId="6276097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GPS L1频点、20–40 dBm保守扫描区间</w:t>
            </w:r>
          </w:p>
        </w:tc>
        <w:tc>
          <w:tcPr>
            <w:tcW w:w="3402" w:type="dxa"/>
            <w:vAlign w:val="center"/>
          </w:tcPr>
          <w:p w14:paraId="7FD147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Crosta Jammertest23；截图：jammertest23_power_settings.png、isgps_l1_1575_42.png</w:t>
            </w:r>
          </w:p>
        </w:tc>
        <w:tc>
          <w:tcPr>
            <w:tcW w:w="2438" w:type="dxa"/>
            <w:vAlign w:val="center"/>
          </w:tcPr>
          <w:p w14:paraId="585AC4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UAV_GA.py:170-193</w:t>
            </w:r>
          </w:p>
        </w:tc>
      </w:tr>
      <w:tr w14:paraId="3E68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vAlign w:val="center"/>
          </w:tcPr>
          <w:p w14:paraId="5F31A6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工业/ISM发射机</w:t>
            </w:r>
          </w:p>
        </w:tc>
        <w:tc>
          <w:tcPr>
            <w:tcW w:w="2268" w:type="dxa"/>
            <w:vAlign w:val="center"/>
          </w:tcPr>
          <w:p w14:paraId="568C53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902–928 MHz、EIRP映射、LoRa/ISM口径</w:t>
            </w:r>
          </w:p>
        </w:tc>
        <w:tc>
          <w:tcPr>
            <w:tcW w:w="3402" w:type="dxa"/>
            <w:vAlign w:val="center"/>
          </w:tcPr>
          <w:p w14:paraId="6463709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47 CFR §15.247；LoRa RP002；Nature Scientific Data 数据集</w:t>
            </w:r>
          </w:p>
        </w:tc>
        <w:tc>
          <w:tcPr>
            <w:tcW w:w="2438" w:type="dxa"/>
            <w:vAlign w:val="center"/>
          </w:tcPr>
          <w:p w14:paraId="7D376B7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UAV_GA.py:195-225</w:t>
            </w:r>
          </w:p>
        </w:tc>
      </w:tr>
      <w:tr w14:paraId="2D9D9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vAlign w:val="center"/>
          </w:tcPr>
          <w:p w14:paraId="07A559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Ku地面终端/VSAT</w:t>
            </w:r>
          </w:p>
        </w:tc>
        <w:tc>
          <w:tcPr>
            <w:tcW w:w="2268" w:type="dxa"/>
            <w:vAlign w:val="center"/>
          </w:tcPr>
          <w:p w14:paraId="629ACA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 GHz、BUC导出功率到EIRP-equivalent映射</w:t>
            </w:r>
          </w:p>
        </w:tc>
        <w:tc>
          <w:tcPr>
            <w:tcW w:w="3402" w:type="dxa"/>
            <w:vAlign w:val="center"/>
          </w:tcPr>
          <w:p w14:paraId="5293A5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NJT5307-4W KU-Band BUC datasheet；截图：ku_buc_14ghz_power.png</w:t>
            </w:r>
          </w:p>
        </w:tc>
        <w:tc>
          <w:tcPr>
            <w:tcW w:w="2438" w:type="dxa"/>
            <w:vAlign w:val="center"/>
          </w:tcPr>
          <w:p w14:paraId="531B64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UAV_GA.py:227-253</w:t>
            </w:r>
          </w:p>
        </w:tc>
      </w:tr>
    </w:tbl>
    <w:p w14:paraId="4851021B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Wi-Fi 2.4/5.8 GHz 部分的写法需要特别谨慎。当前工程保留了 `eirp_min_dbm`、beacon 周期 102.4 ms 和活动占空比接口，这些口径分别可以追溯到 47 CFR §15.247、Wi-Fi时空变化测量证据以及 `Reliability of Wi-Fi, LTE, and 5G-Based UAV RC Links` 对控制链路beacon行为的截图证据。与此同时，项目内部的 `干扰源数据标定.docx` 已明确指出，过去出现过“住宅区平均 60 AP/km²”之类找不到原文支撑的表述，因此第二版不再把这类数值写成通用结论，只保留有截图证据的 `Manhattan 1854 AP/km²` 与 `Grove Park 46 AP/km²` 作为场景示例。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[10,11,19]</w:t>
      </w:r>
    </w:p>
    <w:p w14:paraId="359AF399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蜂窝类干扰源被拆成两个层级处理。对于 5G gNB，`_calibrate_source_profile_and_power()` 并不直接相信原始 `raw_power_dbm`，而是先用 femto/pico/micro 三个EIRP锚点把其投影到小站档位，再保留 ±3 dB 的小偏移。这种写法的优点是让工程中的 5G 功率不再是“自由漂浮的随机数”，而是始终贴着文献截图中可解释的设备档位。对于蜂窝 UE 上行，代码根本没有采用“0–23 dBm 直接均匀采样”的偷懒做法，而是单独走第五章讨论的 FPC 公式。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[7,8]</w:t>
      </w:r>
    </w:p>
    <w:p w14:paraId="176FC16E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GNSS 干扰器、工业/ISM 设备和 Ku 地面终端的写法则反映了本工程的另一个优点：它不会把物理意义完全不同的源混成一个“宽带噪声源”。GNSS 部分明确固定在 GPS L1 频点上，并将 20–40 dBm 解释为便携/车载干扰器的保守 EIRP-equivalent 扫描区间；工业/ISM 设备被明确限定为“窄带主动发射机”而不是 EMI PSD；Ku 终端则通过 BUC 输出功率和天线增益映射到 EIRP-equivalent 口径。这种区分会直接影响路径损耗公式、频谱耦合乃至语义落位规则，因此不能在论文里一句“多源电磁干扰”带过。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[10,12,13,14,15]</w:t>
      </w:r>
    </w:p>
    <w:p w14:paraId="63992021">
      <w:pPr>
        <w:jc w:val="center"/>
      </w:pPr>
      <w:r>
        <w:drawing>
          <wp:inline distT="0" distB="0" distL="114300" distR="114300">
            <wp:extent cx="5943600" cy="25133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352D"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图3 工程中各类干扰源的频段、功率与活动度标定轮廓</w:t>
      </w:r>
    </w:p>
    <w:p w14:paraId="229C59A7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还需要明确指出哪些内容已经标定、哪些仍属于工程默认项。以 Nakagami 的 m 参数、4G/5G 背景PPP强度、若干工业源覆盖半径为例，工程虽然提供了接口和默认值，但仓内并没有形成“实测拟合到参数表”的闭环证据，因此第二版正文只能写成“工程场景参数”或“待进一步校核”。只有这样，文稿才不会在审稿或答辩时因为“把默认值冒充标定值”而失去可信度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[7,8,10,12]</w:t>
      </w:r>
    </w:p>
    <w:p w14:paraId="4E911F75"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第五章 闭环功控接口、Nakagami聚合与功率域评估链</w:t>
      </w:r>
    </w:p>
    <w:p w14:paraId="39F49C64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蜂窝UE上行功率的实现是本工程里最容易被误写的部分。其真实实现不是“UE功率服从某个区间”，而是 `_ue_ul_fpc_power_dbm()` 按式（7）执行分数功控。代码首先从 `p0_candidates_dbm` 中选择 P0 档位，再确定资源块数量 M_RB 和服务距离 d_serv，随后计算 `PL_serv = FSPL(d_serv, f) + pl_extra_db`，最后由 `P_u = min(P_max, P_0 + α PL_serv + 10log10(M_RB) + ΔTF + f(ΔTPC))` 得到发射功率。这里 α 会在高度 100 m 前后从 0.8 切换到 0.7，体现出“空中UE与低空/地面UE分段处理”的工程假设。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[7]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1202"/>
      </w:tblGrid>
      <w:tr w14:paraId="440CC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4546A29A">
            <w:pPr>
              <w:jc w:val="center"/>
            </w:pPr>
            <w:r>
              <w:drawing>
                <wp:inline distT="0" distB="0" distL="114300" distR="114300">
                  <wp:extent cx="5029200" cy="62928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29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31C199AA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(7)</w:t>
            </w:r>
          </w:p>
        </w:tc>
      </w:tr>
    </w:tbl>
    <w:p w14:paraId="59047668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闭环功控的“体现”恰恰在于，代码没有把 `ΔTF` 与 `f(ΔTPC)` 两项删掉，而是显式保留在元数据与计算链中，只是当前默认值都设为 0 dB。也就是说，第二版论文应准确表述为“工程已保留闭环修正接口，并能在需要时接入TPC增量”，而不能写成“工程已经完成完整的时间序列闭环TPC仿真”。这种边界写清之后，FPC/CLPC 在论文中就既能被看到，又不会被夸大。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[7,16]</w:t>
      </w:r>
    </w:p>
    <w:p w14:paraId="4079C170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Nakagami-m 技术在本工程中的作用也必须按同样标准来写。当前 `interference_aggregation_model` 默认即为 `nakagami`，`_nakagami_m_for_source()` 支持三种 m 的来源：全局默认 `nakagami_m_default`、按类型给定的 `nakagami_m_by_type`，以及基于 `p_los` 在 `nakagami_m_los` 与 `nakagami_m_nlos` 之间插值。每个干扰分量 i 先在功率域得到平均功率 Ω_i，再把其视为 Gamma 变量；对所有分量的一、二阶矩做匹配后，可得到式（8）和式（9）中的等效 `m_eq` 与尺度参数。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[17,20]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1202"/>
      </w:tblGrid>
      <w:tr w14:paraId="1B764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52CBDAF3">
            <w:pPr>
              <w:jc w:val="center"/>
            </w:pPr>
            <w:r>
              <w:drawing>
                <wp:inline distT="0" distB="0" distL="114300" distR="114300">
                  <wp:extent cx="5029200" cy="83248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832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4EC85444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(8)</w:t>
            </w:r>
          </w:p>
        </w:tc>
      </w:tr>
      <w:tr w14:paraId="09DA6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4B9F220D">
            <w:pPr>
              <w:jc w:val="center"/>
            </w:pPr>
            <w:r>
              <w:drawing>
                <wp:inline distT="0" distB="0" distL="114300" distR="114300">
                  <wp:extent cx="5029200" cy="68326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83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642A36EA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(9)</w:t>
            </w:r>
          </w:p>
        </w:tc>
      </w:tr>
    </w:tbl>
    <w:p w14:paraId="659781B2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这一实现的工程意义在于，它把多源干扰从“简单线性求和 + 一次指数衰落”提升为“可配置的衰落严重度聚合”。如果 `nakagami_sample_mode='mean'`，代码直接返回 `ΣΩ_i` 的期望；如果选择 `sample`，则 `_stable_gamma_sample()` 以稳定伪随机方式给出一个等效Gamma样本，从而在GA重复评估时仍保持可复现。然而，当前仓库并没有形成一张来自外场测量的 `m_by_type` 标定表，因此本文只能把 Nakagami-m 写成“已经实现的聚合机制与参数接口”，而不能写成“各场景 m 参数已经完成实测回归”。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[17,20]</w:t>
      </w:r>
    </w:p>
    <w:p w14:paraId="46CB3364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在功率域评估链上，有用信号、干扰和噪声最终统一汇入 `calculate_power_margin_components()`。式（10）给出了功率裕量 M 与 SINR 的关系，式（11）把 M 经由S形函数压缩为通信劣化度，式（12）和式（13）再把推进功耗和综合劣化统一到同一优化指标中。这一链条的好处是，路径损耗、活动度、频谱耦合、Nakagami 聚合和噪声功率都以同一功率域口径进入后续 KPI 计算，避免了“前文讲传播，后文只剩一个神秘打分函数”的断裂。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[1,5,6]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1202"/>
      </w:tblGrid>
      <w:tr w14:paraId="4CC5A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2A89901A">
            <w:pPr>
              <w:jc w:val="center"/>
            </w:pPr>
            <w:r>
              <w:drawing>
                <wp:inline distT="0" distB="0" distL="114300" distR="114300">
                  <wp:extent cx="5029200" cy="72771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2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09E7C774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(10)</w:t>
            </w:r>
          </w:p>
        </w:tc>
      </w:tr>
      <w:tr w14:paraId="3668D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5B566CC3">
            <w:pPr>
              <w:jc w:val="center"/>
            </w:pPr>
            <w:r>
              <w:drawing>
                <wp:inline distT="0" distB="0" distL="114300" distR="114300">
                  <wp:extent cx="5029200" cy="72771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2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385CAE18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(11)</w:t>
            </w:r>
          </w:p>
        </w:tc>
      </w:tr>
      <w:tr w14:paraId="08688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78D9CEAC">
            <w:pPr>
              <w:jc w:val="center"/>
            </w:pPr>
            <w:r>
              <w:drawing>
                <wp:inline distT="0" distB="0" distL="114300" distR="114300">
                  <wp:extent cx="5029200" cy="40957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09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58C9AF30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(12)</w:t>
            </w:r>
          </w:p>
        </w:tc>
      </w:tr>
      <w:tr w14:paraId="13B87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67767825">
            <w:pPr>
              <w:jc w:val="center"/>
            </w:pPr>
            <w:r>
              <w:drawing>
                <wp:inline distT="0" distB="0" distL="114300" distR="114300">
                  <wp:extent cx="5029200" cy="72771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2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01D623CD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(13)</w:t>
            </w:r>
          </w:p>
        </w:tc>
      </w:tr>
    </w:tbl>
    <w:p w14:paraId="392D8EF7"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表2 关键技术与工程代码映射及第二版写作边界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63C03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7" w:type="dxa"/>
          </w:tcPr>
          <w:p w14:paraId="706E4A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技术点</w:t>
            </w:r>
          </w:p>
        </w:tc>
        <w:tc>
          <w:tcPr>
            <w:tcW w:w="2268" w:type="dxa"/>
          </w:tcPr>
          <w:p w14:paraId="33F3B9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工程实现</w:t>
            </w:r>
          </w:p>
        </w:tc>
        <w:tc>
          <w:tcPr>
            <w:tcW w:w="2664" w:type="dxa"/>
          </w:tcPr>
          <w:p w14:paraId="63E358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代码位置</w:t>
            </w:r>
          </w:p>
        </w:tc>
        <w:tc>
          <w:tcPr>
            <w:tcW w:w="2891" w:type="dxa"/>
          </w:tcPr>
          <w:p w14:paraId="2FBF12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第二版写作边界</w:t>
            </w:r>
          </w:p>
        </w:tc>
      </w:tr>
      <w:tr w14:paraId="2DB67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2DC2EA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有地图时的LoS判定</w:t>
            </w:r>
          </w:p>
        </w:tc>
        <w:tc>
          <w:tcPr>
            <w:tcW w:w="2268" w:type="dxa"/>
            <w:vAlign w:val="center"/>
          </w:tcPr>
          <w:p w14:paraId="5440EF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deterministic_if_map；以线段-建筑交点得到χ_LoS</w:t>
            </w:r>
          </w:p>
        </w:tc>
        <w:tc>
          <w:tcPr>
            <w:tcW w:w="2664" w:type="dxa"/>
            <w:vAlign w:val="center"/>
          </w:tcPr>
          <w:p w14:paraId="0E5662F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UAV_GA.py:879, 918-935, 2412-2470, 2515-2554；compare_measured_cornercases.py:45-62</w:t>
            </w:r>
          </w:p>
        </w:tc>
        <w:tc>
          <w:tcPr>
            <w:tcW w:w="2891" w:type="dxa"/>
            <w:vAlign w:val="center"/>
          </w:tcPr>
          <w:p w14:paraId="73A4FA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不能写成“全文始终使用LoS概率抽样”。</w:t>
            </w:r>
          </w:p>
        </w:tc>
      </w:tr>
      <w:tr w14:paraId="65C3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0AD74E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LoS概率模型</w:t>
            </w:r>
          </w:p>
        </w:tc>
        <w:tc>
          <w:tcPr>
            <w:tcW w:w="2268" w:type="dxa"/>
            <w:vAlign w:val="center"/>
          </w:tcPr>
          <w:p w14:paraId="0266C8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sigmoid/ITU原始乘积仅作为无地图或显式probabilistic模式的后备模型</w:t>
            </w:r>
          </w:p>
        </w:tc>
        <w:tc>
          <w:tcPr>
            <w:tcW w:w="2664" w:type="dxa"/>
            <w:vAlign w:val="center"/>
          </w:tcPr>
          <w:p w14:paraId="15BC56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UAV_GA.py:2305-2361</w:t>
            </w:r>
          </w:p>
        </w:tc>
        <w:tc>
          <w:tcPr>
            <w:tcW w:w="2891" w:type="dxa"/>
            <w:vAlign w:val="center"/>
          </w:tcPr>
          <w:p w14:paraId="5E0305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可以写成“理论参考与后备口径”，不能写成“当前主评估引擎”。</w:t>
            </w:r>
          </w:p>
        </w:tc>
      </w:tr>
      <w:tr w14:paraId="44A22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0FC34A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闭环功控</w:t>
            </w:r>
          </w:p>
        </w:tc>
        <w:tc>
          <w:tcPr>
            <w:tcW w:w="2268" w:type="dxa"/>
            <w:vAlign w:val="center"/>
          </w:tcPr>
          <w:p w14:paraId="03C108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FPC公式保留ΔTF与f(ΔTPC)两项，默认取0 dB</w:t>
            </w:r>
          </w:p>
        </w:tc>
        <w:tc>
          <w:tcPr>
            <w:tcW w:w="2664" w:type="dxa"/>
            <w:vAlign w:val="center"/>
          </w:tcPr>
          <w:p w14:paraId="31B307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UAV_GA.py:1980-2043</w:t>
            </w:r>
          </w:p>
        </w:tc>
        <w:tc>
          <w:tcPr>
            <w:tcW w:w="2891" w:type="dxa"/>
            <w:vAlign w:val="center"/>
          </w:tcPr>
          <w:p w14:paraId="3BA105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可以写成“保留闭环修正接口”，不能写成“已实现时序TPC闭环仿真”。</w:t>
            </w:r>
          </w:p>
        </w:tc>
      </w:tr>
      <w:tr w14:paraId="4C8B8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52E282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干扰源标定</w:t>
            </w:r>
          </w:p>
        </w:tc>
        <w:tc>
          <w:tcPr>
            <w:tcW w:w="2268" w:type="dxa"/>
            <w:vAlign w:val="center"/>
          </w:tcPr>
          <w:p w14:paraId="72B68C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Wi-Fi下限裁剪、5G锚点映射、UE UL按FPC生成、其余保留EIRP-equivalent</w:t>
            </w:r>
          </w:p>
        </w:tc>
        <w:tc>
          <w:tcPr>
            <w:tcW w:w="2664" w:type="dxa"/>
            <w:vAlign w:val="center"/>
          </w:tcPr>
          <w:p w14:paraId="3A27F6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UAV_GA.py:2044-2094</w:t>
            </w:r>
          </w:p>
        </w:tc>
        <w:tc>
          <w:tcPr>
            <w:tcW w:w="2891" w:type="dxa"/>
            <w:vAlign w:val="center"/>
          </w:tcPr>
          <w:p w14:paraId="526172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可以写成“类型化标定”，不能把全部常数都写成已完成实测拟合。</w:t>
            </w:r>
          </w:p>
        </w:tc>
      </w:tr>
      <w:tr w14:paraId="3AB0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1B03BC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Nakagami聚合</w:t>
            </w:r>
          </w:p>
        </w:tc>
        <w:tc>
          <w:tcPr>
            <w:tcW w:w="2268" w:type="dxa"/>
            <w:vAlign w:val="center"/>
          </w:tcPr>
          <w:p w14:paraId="0C0884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按第一、二矩求m_eq并映射到Gamma等效干扰</w:t>
            </w:r>
          </w:p>
        </w:tc>
        <w:tc>
          <w:tcPr>
            <w:tcW w:w="2664" w:type="dxa"/>
            <w:vAlign w:val="center"/>
          </w:tcPr>
          <w:p w14:paraId="33B437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UAV_GA.py:2596-2673, 2703-2749</w:t>
            </w:r>
          </w:p>
        </w:tc>
        <w:tc>
          <w:tcPr>
            <w:tcW w:w="2891" w:type="dxa"/>
            <w:vAlign w:val="center"/>
          </w:tcPr>
          <w:p w14:paraId="7660AB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可以写成“已实现Nakagami-m聚合机制”，不能写成“m参数已完成外场标定”。</w:t>
            </w:r>
          </w:p>
        </w:tc>
      </w:tr>
      <w:tr w14:paraId="082ED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08CCA3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功率域指标</w:t>
            </w:r>
          </w:p>
        </w:tc>
        <w:tc>
          <w:tcPr>
            <w:tcW w:w="2268" w:type="dxa"/>
            <w:vAlign w:val="center"/>
          </w:tcPr>
          <w:p w14:paraId="78D613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P_rx、I、N、M、SINR、rate统一在同一功率域链条输出</w:t>
            </w:r>
          </w:p>
        </w:tc>
        <w:tc>
          <w:tcPr>
            <w:tcW w:w="2664" w:type="dxa"/>
            <w:vAlign w:val="center"/>
          </w:tcPr>
          <w:p w14:paraId="419840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UAV_GA.py:2801-2889；evaluate.py:102-328；kpi.py:58-123</w:t>
            </w:r>
          </w:p>
        </w:tc>
        <w:tc>
          <w:tcPr>
            <w:tcW w:w="2891" w:type="dxa"/>
            <w:vAlign w:val="center"/>
          </w:tcPr>
          <w:p w14:paraId="097736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可以写成“功率域一体化评估”，不能写成“只用单一SINR阈值打分”。</w:t>
            </w:r>
          </w:p>
        </w:tc>
      </w:tr>
      <w:tr w14:paraId="30B3B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0858AB2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GA-GAN-实测闭环</w:t>
            </w:r>
          </w:p>
        </w:tc>
        <w:tc>
          <w:tcPr>
            <w:tcW w:w="2268" w:type="dxa"/>
            <w:vAlign w:val="center"/>
          </w:tcPr>
          <w:p w14:paraId="6F458CD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GA找最坏样本，GAN学习分布，实测角点做边界校核</w:t>
            </w:r>
          </w:p>
        </w:tc>
        <w:tc>
          <w:tcPr>
            <w:tcW w:w="2664" w:type="dxa"/>
            <w:vAlign w:val="center"/>
          </w:tcPr>
          <w:p w14:paraId="54C971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gan_uav_pipeline.py:78-188；compare_measured_cornercases.py:530-1305</w:t>
            </w:r>
          </w:p>
        </w:tc>
        <w:tc>
          <w:tcPr>
            <w:tcW w:w="2891" w:type="dxa"/>
            <w:vAlign w:val="center"/>
          </w:tcPr>
          <w:p w14:paraId="6BB17F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可以写成“最坏工况搜索与外场边界外推”，不能写成“GAN已取代GA最坏搜索”。</w:t>
            </w:r>
          </w:p>
        </w:tc>
      </w:tr>
    </w:tbl>
    <w:p w14:paraId="5AD8C86F"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第六章 GA-GAN评估链、公开实测对齐与当前结果</w:t>
      </w:r>
    </w:p>
    <w:p w14:paraId="06580760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最坏工况搜索链由 `DroneCommProblem`、`run_ga_samples()`、`train_gan()` 与 `run_comparison()` 串接而成。GA 的任务是显式求解式（14）所示的“综合劣化最大化”问题；GAN 的任务不是替代GA，而是学习GA已经找到的高退化样本分布，并按式（15）扩展极端样本库。论文中如果把二者写成“谁优于谁”的静态替代关系，会掩盖当前工程真正的分工：GA负责找边界，GAN负责扩展边界附近样本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[16]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1417"/>
      </w:tblGrid>
      <w:tr w14:paraId="41F81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183A6B48">
            <w:pPr>
              <w:jc w:val="center"/>
            </w:pPr>
            <w:r>
              <w:drawing>
                <wp:inline distT="0" distB="0" distL="114300" distR="114300">
                  <wp:extent cx="4291330" cy="62103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1330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6A553EBF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(14)</w:t>
            </w:r>
          </w:p>
        </w:tc>
      </w:tr>
      <w:tr w14:paraId="42B53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vAlign w:val="center"/>
          </w:tcPr>
          <w:p w14:paraId="2767D3A2">
            <w:pPr>
              <w:jc w:val="center"/>
            </w:pPr>
            <w:bookmarkStart w:id="0" w:name="_GoBack"/>
            <w:r>
              <w:drawing>
                <wp:inline distT="0" distB="0" distL="114300" distR="114300">
                  <wp:extent cx="4194810" cy="45466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481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1417" w:type="dxa"/>
            <w:vAlign w:val="center"/>
          </w:tcPr>
          <w:p w14:paraId="1896B3A9"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(15)</w:t>
            </w:r>
          </w:p>
        </w:tc>
      </w:tr>
    </w:tbl>
    <w:p w14:paraId="3945783D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在当前已经固化的 demo 输出上，GA、GAN 和随机样本的平均综合劣化值分别为 0.4528、0.4300 和 0.4283。GA 相对随机样本提高 5.70%，GAN 相对随机样本提高 0.38%。但这组结果必须和样本量一起解释：当前统计只包含 GA 2 个样本、GAN 2 个样本、Random 10 个样本，因此它更适合作为“方法有效性与趋势证明”，而不应被过度写成严格的分布泛化结论。第二版写法将这一限制显式保留。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[16]</w:t>
      </w:r>
    </w:p>
    <w:p w14:paraId="4926702A">
      <w:pPr>
        <w:jc w:val="center"/>
      </w:pPr>
      <w:r>
        <w:drawing>
          <wp:inline distT="0" distB="0" distL="114300" distR="114300">
            <wp:extent cx="5852160" cy="1896110"/>
            <wp:effectExtent l="0" t="0" r="571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9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3DF9"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图4 GA、GAN与随机样本在当前demo结果上的关键指标均值对比</w:t>
      </w:r>
    </w:p>
    <w:p w14:paraId="544FE0C0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 AERPAW 公开5G NSA 数据上，实测轨迹的平均SINR为 16.05 dB，而模型最坏区域只有 -10.72 dB，差值达到 26.77 dB；平均吞吐量则从 562.55 Mbps 降到 13.32 Mbps，下降 97.63%。在 10 dB 门限上，实测轨迹的中断率为 0.384，最坏区域上升为 1.000。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[18]</w:t>
      </w:r>
    </w:p>
    <w:p w14:paraId="1C60D04E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 Dryad 数据上，同样的结论保持成立：实测轨迹平均SINR为 14.69 dB，模型最坏区域为 -8.74 dB，平均差值 23.43 dB；平均吞吐量从 507.07 Mbps 降到 20.06 Mbps，下降 96.04%。说明模型输出的不是“与实测最差点等价的位置”，而是“在当前环境对齐条件下理论上更脆弱的区域”。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[18]</w:t>
      </w:r>
    </w:p>
    <w:p w14:paraId="2E7B1D6F">
      <w:pPr>
        <w:jc w:val="center"/>
      </w:pPr>
      <w:r>
        <w:drawing>
          <wp:inline distT="0" distB="0" distL="114300" distR="114300">
            <wp:extent cx="5852160" cy="1794510"/>
            <wp:effectExtent l="0" t="0" r="5715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FD7B"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图5 AERPAW与Dryad中实测轨迹、随机点和模型最坏区域的量化对比</w:t>
      </w:r>
    </w:p>
    <w:p w14:paraId="580CA399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这一节与第五章的联系在于：GA/GAN 并不是只优化一个抽象目标，而是优化由 `P_rx`、`I_y`、`N_y`、`M`、SINR、速率和中断率共同定义的可追溯指标链。实测对齐阶段的默认参数中，`los_indicator_mode` 仍保持 `deterministic_if_map`，这意味着角点对照实验沿用的仍是几何LoS而非概率LoS。第二版必须把这一点明说，否则读者会误以为仿真端和实测对齐端用了两套不同的可见性口径。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[7,18]</w:t>
      </w:r>
    </w:p>
    <w:p w14:paraId="41CDDA85"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第七章 结论与后续工作</w:t>
      </w:r>
    </w:p>
    <w:p w14:paraId="5DC341AE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第二版文稿的核心改动不是简单“扩字数”，而是把无人机通信退化问题重新写回本工程真正实现的技术路径中。全文现在以几何LoS、类型化干扰源标定、保留闭环项的FPC接口、Nakagami-m聚合以及GA-GAN-实测闭环为主线；同时把过去容易被写虚的地方，例如“LoS概率是主引擎”“所有参数都已经完成文献标定”“闭环功控已经动态实现”“Nakagami参数已经有外场拟合”等，全部降回了工程真实边界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[5,6,7,8,16,17,18]</w:t>
      </w:r>
    </w:p>
    <w:p w14:paraId="0EDFEFAF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从方法论上看，本文论证了本课题的必要性并不来自“无人机更高”这一单因素，而来自高度 h 使有用链路和多类干扰链路同时发生非单调变化。最坏工况往往出现在服务链路尚未完全摆脱遮挡、但一个或多个干扰主导项已经进入LoS或频谱耦合更强的区间，因此最坏点只能通过显式建模与搜索获得。当前GA/GAN与公开实测的对照结果已经表明，这种边界搜索具有现实意义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[2,3,4,18]</w:t>
      </w:r>
    </w:p>
    <w:p w14:paraId="5DBFADDD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后续工作可沿三条线继续推进。第一，把 Nakagami 的 `m_by_type`、`m_los` 与 `m_nlos` 做成基于实测数据的回归表，而不是只停留在机制接口层；第二，把 `f(ΔTPC)` 从默认零值推进到具有时间演化的闭环TPC序列，从而把“接口保留”升级为“动态闭环仿真”；第三，继续收缩干扰源PPP强度、活动度和覆盖半径中的工程默认项，使其逐步转化为场景化的实测标定参数。只有在这三条线上进一步闭环，论文中的每一个技术名词才都能完全对应到外场证据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[7,16,17,18]</w:t>
      </w:r>
    </w:p>
    <w:p w14:paraId="0E26B253"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参考文献</w:t>
      </w:r>
    </w:p>
    <w:p w14:paraId="52D596F5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[1] Y. Zeng, Q. Wu, and R. Zhang, Accessing From the Sky: A Tutorial on UAV Communications for 5G and Beyond, Proceedings of the IEEE, vol. 107, no. 12, 2019.</w:t>
      </w:r>
    </w:p>
    <w:p w14:paraId="0E5003A0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[2] A. Al-Hourani, S. Kandeepan, and A. Jamalipour, Modeling air-to-ground path loss for low altitude platforms in urban environments, IEEE GLOBECOM, 2014.</w:t>
      </w:r>
    </w:p>
    <w:p w14:paraId="61924694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[3] A. Al-Hourani, S. Kandeepan, and S. Lardner, Optimal LAP Altitude for Maximum Coverage, IEEE Wireless Communications Letters, vol. 3, no. 6, 2014.</w:t>
      </w:r>
    </w:p>
    <w:p w14:paraId="3F57B81F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[4] M. Pang, Q. Zhu, F. Bai, Z. Li, H. Li, K. Mao, and Y. Tian, Height-Dependent LoS Probability Model for A2G MmWave Communications under Built-up Scenarios, 2021.</w:t>
      </w:r>
    </w:p>
    <w:p w14:paraId="3E8110CD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[5] ITU-R Recommendation P.1238-13, Propagation data and prediction methods for the planning of indoor radiocommunication systems and radio local area networks, 2025.</w:t>
      </w:r>
    </w:p>
    <w:p w14:paraId="6DBE54F2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[6] ITU-R Recommendation P.2109-2, Prediction of building entry loss, 2023.</w:t>
      </w:r>
    </w:p>
    <w:p w14:paraId="46C0BC47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[7] 3GPP TR 36.777, Enhanced LTE Support for Aerial Vehicles, Release 15, 2017.</w:t>
      </w:r>
    </w:p>
    <w:p w14:paraId="0E4040DC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[8] ETSI TR 138 913 (3GPP TR 38.913), Study on scenarios and requirements for next generation access technologies, evidence set used in this project.</w:t>
      </w:r>
    </w:p>
    <w:p w14:paraId="0AFAE536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[9] Ahmad et al., EURASIP Journal on Wireless Communications and Networking (2012) – full/finite buffer traffic models.</w:t>
      </w:r>
    </w:p>
    <w:p w14:paraId="2D5F21F7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[10] 47 CFR §15.247, Operation within the bands 902–928 MHz, 2400–2483.5 MHz, and 5725–5850 MHz, 2025 edition.</w:t>
      </w:r>
    </w:p>
    <w:p w14:paraId="5A54309B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[11] K. Jones and L. Liu, What Where Wi: An Analysis of Millions of Wi-Fi Access Points, submitted version for IEEE Portable 2007.</w:t>
      </w:r>
    </w:p>
    <w:p w14:paraId="5A230BBC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[12] P. Crosta, How Robust Are GNSS Signals? Experiences from Jammertest 2023, ESA, 2023.</w:t>
      </w:r>
    </w:p>
    <w:p w14:paraId="50DB04A3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[13] LoRa Alliance, LoRaWAN Regional Parameters RP002, 2019.</w:t>
      </w:r>
    </w:p>
    <w:p w14:paraId="7A81C948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[14] Nature Scientific Data, LoRaWAN data set with ground and aerial gateways, 2025.</w:t>
      </w:r>
    </w:p>
    <w:p w14:paraId="3140326D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[15] New Japan Radio Co., Ltd., NJT5307-4W KU-Band BUC datasheet, Rev.03.</w:t>
      </w:r>
    </w:p>
    <w:p w14:paraId="347C158C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[16] F. Wang, Z. Zhang, L. Zhou, T. Shang, and R. Zhang, Robust Multi-UAV Cooperative Trajectory Planning and Power Control for Reliable Communication in the Presence of Uncertain Jammers, Drones, vol. 8, no. 10, 558, 2024.</w:t>
      </w:r>
    </w:p>
    <w:p w14:paraId="39A2B282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[17] W. J. Lau, J. M.-Y. Lim, C. Y. Chong, N. S. Ho, and T. W. M. Ooi, General Outage Probability Model for UAV-to-UAV Links in Multi-UAV Networks, Computer Networks, vol. 229, 109752, 2023.</w:t>
      </w:r>
    </w:p>
    <w:p w14:paraId="7F45E824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[18] R. Asokan, O. Ozdemir, I. Guvenc, and M. L. Sichitiu, Aerial RF and Throughput Measurements on a Non-Standalone 5G Wireless Network, 2024.</w:t>
      </w:r>
    </w:p>
    <w:p w14:paraId="7FA40D73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[19] D. Lee, S. J. Maeng, O. Ozdemir, M. B. Pandian, and I. Guvenc, Reliability of Wi-Fi, LTE, and 5G-Based UAV RC Links: Uplink Interference Asymmetry Analysis and HARQ Design.</w:t>
      </w:r>
    </w:p>
    <w:p w14:paraId="20CCD5C9">
      <w:pPr>
        <w:spacing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[20] I. S. Ansari, F. Yilmaz, M.-S. Alouini, and O. Kucur, New Results on the Sum of Gamma Random Variates With Application to the Performance of Wireless Communication Systems over Nakagami-m Fading Channels, arXiv:1202.2576, 2012.</w:t>
      </w:r>
    </w:p>
    <w:sectPr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05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2772</Words>
  <Characters>3688</Characters>
  <Lines>0</Lines>
  <Paragraphs>0</Paragraphs>
  <TotalTime>77</TotalTime>
  <ScaleCrop>false</ScaleCrop>
  <LinksUpToDate>false</LinksUpToDate>
  <CharactersWithSpaces>3811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52834</cp:lastModifiedBy>
  <dcterms:modified xsi:type="dcterms:W3CDTF">2026-03-22T15:13:36Z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eyJoZGlkIjoiOTA2YTRlY2JlZWM2OTNlNjc4YzQ3Njc0MzAwMDYwMTMiLCJ1c2VySWQiOiI2NTYzNjI1NzQifQ==</vt:lpwstr>
  </property>
  <property fmtid="{D5CDD505-2E9C-101B-9397-08002B2CF9AE}" pid="3" name="KSOProductBuildVer">
    <vt:lpwstr>2052-12.1.0.25222</vt:lpwstr>
  </property>
  <property fmtid="{D5CDD505-2E9C-101B-9397-08002B2CF9AE}" pid="4" name="ICV">
    <vt:lpwstr>1867BA1B7E0047E2A5DC54F54470BD32_13</vt:lpwstr>
  </property>
</Properties>
</file>