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4B1B5"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E9EEF6"/>
        </w:rPr>
        <w:t>分别给出不同类型的干扰源的frequency、power_range、coverage_radius、path_loss_factor、activity、背景PPP、功率/标定生成、height_distribution的数据出处来源和文献来源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4B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1502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2026-01-01T10:02:28Z</dcterms:created>
  <dc:creator>52834</dc:creator>
  <cp:lastModifiedBy>morty</cp:lastModifiedBy>
  <dcterms:modified xsi:type="dcterms:W3CDTF">2026-01-02T11:20:18Z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AB4354F42BE3467996FFC325BB1D0627_12</vt:lpwstr>
  </property>
</Properties>
</file>