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7B2CC">
      <w:pPr>
        <w:jc w:val="center"/>
      </w:pPr>
      <w:bookmarkStart w:id="0" w:name="_GoBack"/>
      <w:bookmarkEnd w:id="0"/>
      <w:r>
        <w:rPr>
          <w:rFonts w:ascii="Times New Roman" w:hAnsi="Times New Roman" w:eastAsia="黑体"/>
          <w:b/>
          <w:sz w:val="36"/>
        </w:rPr>
        <w:t>无人机通信劣化场景优化：模型、公式与数据标定（论文大纲版）</w:t>
      </w:r>
    </w:p>
    <w:p w14:paraId="1086CA6A">
      <w:pPr>
        <w:jc w:val="center"/>
      </w:pPr>
      <w:r>
        <w:t>（去除代码段与截图；所有公式以 LaTeX 渲染形式插入）</w:t>
      </w:r>
      <w:r>
        <w:br w:type="textWrapping"/>
      </w:r>
    </w:p>
    <w:p w14:paraId="71CC7596">
      <w:r>
        <w:t>摘要：本文面向“无人机通信劣化场景优化”任务，给出论文级大纲与关键模型/公式/数据标定流程。重点覆盖：城市场景生成、A2G/U2U/无人机-干扰源路径损耗与遮挡判定、干扰源类型化标定与生成、飞行速度-能耗模型、通信劣化指标与遗传算法求解框架。所有参数取值与依据均来自用户提供文档与可公开检索的标准/论文，引用以 [n] 标注，文末给出参考文献列表。</w:t>
      </w:r>
    </w:p>
    <w:p w14:paraId="10597F8D">
      <w:pPr>
        <w:pStyle w:val="3"/>
      </w:pPr>
      <w:r>
        <w:rPr>
          <w:rFonts w:ascii="Times New Roman" w:hAnsi="Times New Roman" w:eastAsia="黑体"/>
        </w:rPr>
        <w:t>1 引言与问题定义</w:t>
      </w:r>
    </w:p>
    <w:p w14:paraId="47FE74B4">
      <w:r>
        <w:t>目标：在城市多源干扰环境下，联合优化无人机飞行状态与受控干扰配置，使通信链路指标（如接收功率、SINR、速率、可靠性）出现可度量的“劣化”，并可解释其物理成因。模型需要同时支持 A2G、U2U 与 UAV-干扰源链路，并考虑建筑遮挡与室内/穿透损耗。[1–7][18–21]</w:t>
      </w:r>
    </w:p>
    <w:p w14:paraId="53680BBB">
      <w:pPr>
        <w:pStyle w:val="3"/>
      </w:pPr>
      <w:r>
        <w:rPr>
          <w:rFonts w:ascii="Times New Roman" w:hAnsi="Times New Roman" w:eastAsia="黑体"/>
        </w:rPr>
        <w:t>2 城市生成模型：方法、公式与可标定参数</w:t>
      </w:r>
    </w:p>
    <w:p w14:paraId="21500D94">
      <w:pPr>
        <w:pStyle w:val="4"/>
      </w:pPr>
      <w:r>
        <w:rPr>
          <w:rFonts w:ascii="Times New Roman" w:hAnsi="Times New Roman" w:eastAsia="黑体"/>
        </w:rPr>
        <w:t>2.1 仿真区域与基础密度参数</w:t>
      </w:r>
    </w:p>
    <w:p w14:paraId="355BA2DF">
      <w:r>
        <w:t>城市仿真区域通常采用矩形或多边形地块；以矩形为例，面积为式(1)。建筑、道路、干扰源“候选点”的数量通常由密度参数与面积共同决定（泊松或均匀采样）。[23][9]</w:t>
      </w:r>
    </w:p>
    <w:p w14:paraId="4F474F38">
      <w:pPr>
        <w:jc w:val="center"/>
      </w:pPr>
      <w:r>
        <w:drawing>
          <wp:inline distT="0" distB="0" distL="114300" distR="114300">
            <wp:extent cx="5760720" cy="2715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7D95">
      <w:pPr>
        <w:jc w:val="center"/>
      </w:pPr>
      <w:r>
        <w:rPr>
          <w:i/>
        </w:rPr>
        <w:t>(1) 城市仿真区域面积（矩形）</w:t>
      </w:r>
    </w:p>
    <w:p w14:paraId="75D41A1D">
      <w:pPr>
        <w:jc w:val="center"/>
      </w:pPr>
      <w:r>
        <w:drawing>
          <wp:inline distT="0" distB="0" distL="114300" distR="114300">
            <wp:extent cx="5760720" cy="1609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40F5">
      <w:pPr>
        <w:jc w:val="center"/>
      </w:pPr>
      <w:r>
        <w:rPr>
          <w:i/>
        </w:rPr>
        <w:t>(2) 建筑物数量的泊松采样（示例）</w:t>
      </w:r>
    </w:p>
    <w:p w14:paraId="07EA0B75">
      <w:pPr>
        <w:pStyle w:val="4"/>
      </w:pPr>
      <w:r>
        <w:rPr>
          <w:rFonts w:ascii="Times New Roman" w:hAnsi="Times New Roman" w:eastAsia="黑体"/>
        </w:rPr>
        <w:t>2.2 建筑物几何采样与高度分布</w:t>
      </w:r>
    </w:p>
    <w:p w14:paraId="70DA4753">
      <w:r>
        <w:t>建筑物几何参数可分为：平面投影（中心点/长宽/朝向）与高度。若缺少真实 GIS 数据，可采用“分布-参数化”方法：宽度/高度分别从经验分布采样（式(3)），并通过场景约束（道路缓冲、建筑间距等）保证可行性。[23][24]</w:t>
      </w:r>
    </w:p>
    <w:p w14:paraId="3E9EE260">
      <w:pPr>
        <w:jc w:val="center"/>
      </w:pPr>
      <w:r>
        <w:drawing>
          <wp:inline distT="0" distB="0" distL="114300" distR="114300">
            <wp:extent cx="5760720" cy="1368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770D">
      <w:pPr>
        <w:jc w:val="center"/>
      </w:pPr>
      <w:r>
        <w:rPr>
          <w:i/>
        </w:rPr>
        <w:t>(3) 建筑物宽度/高度的分布采样（由标定分布给定）</w:t>
      </w:r>
    </w:p>
    <w:p w14:paraId="3B85DDEB">
      <w:pPr>
        <w:pStyle w:val="4"/>
      </w:pPr>
      <w:r>
        <w:rPr>
          <w:rFonts w:ascii="Times New Roman" w:hAnsi="Times New Roman" w:eastAsia="黑体"/>
        </w:rPr>
        <w:t>2.3 背景点过程与三维扩展</w:t>
      </w:r>
    </w:p>
    <w:p w14:paraId="4406F7C1">
      <w:r>
        <w:t>当需要刻画城市中大规模随机设施（如 Wi‑Fi AP、室内热点、屋顶设备）时，可用泊松点过程（PPP）建模二维平面分布，并用独立的高度分布扩展为 3D（式(4)–(5)）。该思想在密集城市场景的随机几何建模中常见。[23][24]</w:t>
      </w:r>
    </w:p>
    <w:p w14:paraId="1D06F0C9">
      <w:pPr>
        <w:jc w:val="center"/>
      </w:pPr>
      <w:r>
        <w:drawing>
          <wp:inline distT="0" distB="0" distL="114300" distR="114300">
            <wp:extent cx="5760720" cy="1045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4268">
      <w:pPr>
        <w:jc w:val="center"/>
      </w:pPr>
      <w:r>
        <w:rPr>
          <w:i/>
        </w:rPr>
        <w:t>(4) 2D 泊松点过程与点数</w:t>
      </w:r>
    </w:p>
    <w:p w14:paraId="69E9B765">
      <w:pPr>
        <w:jc w:val="center"/>
      </w:pPr>
      <w:r>
        <w:drawing>
          <wp:inline distT="0" distB="0" distL="114300" distR="114300">
            <wp:extent cx="5760720" cy="917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6904">
      <w:pPr>
        <w:jc w:val="center"/>
      </w:pPr>
      <w:r>
        <w:rPr>
          <w:i/>
        </w:rPr>
        <w:t>(5) 3D 高度分布的分离建模</w:t>
      </w:r>
    </w:p>
    <w:p w14:paraId="19D7101B">
      <w:pPr>
        <w:pStyle w:val="3"/>
      </w:pPr>
      <w:r>
        <w:rPr>
          <w:rFonts w:ascii="Times New Roman" w:hAnsi="Times New Roman" w:eastAsia="黑体"/>
        </w:rPr>
        <w:t>3 路径损耗、遮挡判定与概率后备模型</w:t>
      </w:r>
    </w:p>
    <w:p w14:paraId="4FBC4F7F">
      <w:pPr>
        <w:pStyle w:val="4"/>
      </w:pPr>
      <w:r>
        <w:rPr>
          <w:rFonts w:ascii="Times New Roman" w:hAnsi="Times New Roman" w:eastAsia="黑体"/>
        </w:rPr>
        <w:t>3.1 距离与自由空间损耗基线</w:t>
      </w:r>
    </w:p>
    <w:p w14:paraId="55E2BE78">
      <w:r>
        <w:t>所有链路首先基于三维距离计算（式(6)），自由空间损耗（FSPL）为基础项（式(7)）。[18][21]</w:t>
      </w:r>
    </w:p>
    <w:p w14:paraId="462C00C0">
      <w:pPr>
        <w:jc w:val="center"/>
      </w:pPr>
      <w:r>
        <w:drawing>
          <wp:inline distT="0" distB="0" distL="114300" distR="114300">
            <wp:extent cx="5760720" cy="960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AC3D">
      <w:pPr>
        <w:jc w:val="center"/>
      </w:pPr>
      <w:r>
        <w:rPr>
          <w:i/>
        </w:rPr>
        <w:t>(6) 3D 距离</w:t>
      </w:r>
    </w:p>
    <w:p w14:paraId="4405B81E">
      <w:pPr>
        <w:jc w:val="center"/>
      </w:pPr>
      <w:r>
        <w:drawing>
          <wp:inline distT="0" distB="0" distL="114300" distR="114300">
            <wp:extent cx="5760720" cy="6711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9AFB">
      <w:pPr>
        <w:jc w:val="center"/>
      </w:pPr>
      <w:r>
        <w:rPr>
          <w:i/>
        </w:rPr>
        <w:t>(7) 自由空间路径损耗（常用形式）</w:t>
      </w:r>
    </w:p>
    <w:p w14:paraId="5BEF9407">
      <w:pPr>
        <w:pStyle w:val="4"/>
      </w:pPr>
      <w:r>
        <w:rPr>
          <w:rFonts w:ascii="Times New Roman" w:hAnsi="Times New Roman" w:eastAsia="黑体"/>
        </w:rPr>
        <w:t>3.2 A2G：LoS/NLoS 加权与仰角概率模型</w:t>
      </w:r>
    </w:p>
    <w:p w14:paraId="1350579E">
      <w:r>
        <w:t>A2G 常用做法：FSPL + 城市环境附加损耗，其中 LoS/NLoS 通过概率模型加权得到平均路径损耗（式(8)）。LoS 概率可用 S 形函数描述（式(9)），自变量为仰角（式(10)）。该类模型在低空平台覆盖与 UAV 通信综述中反复出现，并被用于不同城市（稀疏/密集）参数化。[5][6][18][21]</w:t>
      </w:r>
    </w:p>
    <w:p w14:paraId="3921D341">
      <w:pPr>
        <w:jc w:val="center"/>
      </w:pPr>
      <w:r>
        <w:drawing>
          <wp:inline distT="0" distB="0" distL="114300" distR="114300">
            <wp:extent cx="5760720" cy="8420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9516">
      <w:pPr>
        <w:jc w:val="center"/>
      </w:pPr>
      <w:r>
        <w:rPr>
          <w:i/>
        </w:rPr>
        <w:t>(8) A2G 平均路径损耗（LoS/NLoS 加权）</w:t>
      </w:r>
    </w:p>
    <w:p w14:paraId="12823365">
      <w:pPr>
        <w:jc w:val="center"/>
      </w:pPr>
      <w:r>
        <w:drawing>
          <wp:inline distT="0" distB="0" distL="114300" distR="114300">
            <wp:extent cx="5760720" cy="1524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1CB">
      <w:pPr>
        <w:jc w:val="center"/>
      </w:pPr>
      <w:r>
        <w:rPr>
          <w:i/>
        </w:rPr>
        <w:t>(9) LoS 概率（S 形模型）</w:t>
      </w:r>
    </w:p>
    <w:p w14:paraId="7D9C5986">
      <w:pPr>
        <w:jc w:val="center"/>
      </w:pPr>
      <w:r>
        <w:drawing>
          <wp:inline distT="0" distB="0" distL="114300" distR="114300">
            <wp:extent cx="5760720" cy="1450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5CA8">
      <w:pPr>
        <w:jc w:val="center"/>
      </w:pPr>
      <w:r>
        <w:rPr>
          <w:i/>
        </w:rPr>
        <w:t>(10) 仰角定义（度）</w:t>
      </w:r>
    </w:p>
    <w:p w14:paraId="54D79BE0">
      <w:pPr>
        <w:pStyle w:val="4"/>
      </w:pPr>
      <w:r>
        <w:rPr>
          <w:rFonts w:ascii="Times New Roman" w:hAnsi="Times New Roman" w:eastAsia="黑体"/>
        </w:rPr>
        <w:t>3.3 U2U 与 UAV-干扰源：组件化损耗分解</w:t>
      </w:r>
    </w:p>
    <w:p w14:paraId="7450DE80">
      <w:r>
        <w:t>U2U（空空）与 UAV-干扰源链路可视为通用链路：FSPL + 阴影衰落 + 小尺度衰落等（式(11)）。当链路一端位于建筑内部，还需要叠加室内路径损耗（P.1238）与建筑进入损耗（P.2109），形成“室外+穿透+室内”的组合模型（式(12)–(13)）。[1][3][18][22]</w:t>
      </w:r>
    </w:p>
    <w:p w14:paraId="20886030">
      <w:pPr>
        <w:jc w:val="center"/>
      </w:pPr>
      <w:r>
        <w:drawing>
          <wp:inline distT="0" distB="0" distL="114300" distR="114300">
            <wp:extent cx="5760720" cy="9829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D815">
      <w:pPr>
        <w:jc w:val="center"/>
      </w:pPr>
      <w:r>
        <w:rPr>
          <w:i/>
        </w:rPr>
        <w:t>(11) U2U 路损组成（示意）</w:t>
      </w:r>
    </w:p>
    <w:p w14:paraId="46B51C93">
      <w:pPr>
        <w:jc w:val="center"/>
      </w:pPr>
      <w:r>
        <w:drawing>
          <wp:inline distT="0" distB="0" distL="114300" distR="114300">
            <wp:extent cx="5760720" cy="7454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83A8">
      <w:pPr>
        <w:jc w:val="center"/>
      </w:pPr>
      <w:r>
        <w:rPr>
          <w:i/>
        </w:rPr>
        <w:t>(12) ITU‑R P.1238 室内路损结构</w:t>
      </w:r>
    </w:p>
    <w:p w14:paraId="2D171C62">
      <w:pPr>
        <w:jc w:val="center"/>
      </w:pPr>
      <w:r>
        <w:drawing>
          <wp:inline distT="0" distB="0" distL="114300" distR="114300">
            <wp:extent cx="5760720" cy="8997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841F">
      <w:pPr>
        <w:jc w:val="center"/>
      </w:pPr>
      <w:r>
        <w:rPr>
          <w:i/>
        </w:rPr>
        <w:t>(13) ITU‑R P.2109 建筑进入损耗的一般形式</w:t>
      </w:r>
    </w:p>
    <w:p w14:paraId="3E13472B">
      <w:pPr>
        <w:pStyle w:val="4"/>
      </w:pPr>
      <w:r>
        <w:rPr>
          <w:rFonts w:ascii="Times New Roman" w:hAnsi="Times New Roman" w:eastAsia="黑体"/>
        </w:rPr>
        <w:t>3.4 连线法遮挡判定：射线与 AABB 相交</w:t>
      </w:r>
    </w:p>
    <w:p w14:paraId="659BEA9C">
      <w:r>
        <w:t>遮挡判定可抽象为：检查链路直线段是否穿过任一建筑体的轴对齐包围盒（AABB）。设射线参数方程为式(14)，若与任意 AABB 相交则视为遮挡（可用于切换 LoS/NLoS、叠加额外损耗、或作为概率模型的校正项）。高效、数值稳健的 Ray–Box 相交算法可参考 Williams 等在 SIGGRAPH 课程中给出的实现思路。[8]</w:t>
      </w:r>
    </w:p>
    <w:p w14:paraId="17C56925">
      <w:pPr>
        <w:jc w:val="center"/>
      </w:pPr>
      <w:r>
        <w:drawing>
          <wp:inline distT="0" distB="0" distL="114300" distR="114300">
            <wp:extent cx="5760720" cy="8229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FD99">
      <w:pPr>
        <w:jc w:val="center"/>
      </w:pPr>
      <w:r>
        <w:rPr>
          <w:i/>
        </w:rPr>
        <w:t>(14) 连线-包围盒相交判定（遮挡）</w:t>
      </w:r>
    </w:p>
    <w:p w14:paraId="719EB295">
      <w:pPr>
        <w:pStyle w:val="3"/>
      </w:pPr>
      <w:r>
        <w:rPr>
          <w:rFonts w:ascii="Times New Roman" w:hAnsi="Times New Roman" w:eastAsia="黑体"/>
        </w:rPr>
        <w:t>4 干扰源数据标定与生成（按类型分类）</w:t>
      </w:r>
    </w:p>
    <w:p w14:paraId="672DACCA">
      <w:r>
        <w:t>本章给出“干扰源类型 → 可观测/可标定参数 → 生成方式”的统一框架。核心思想：先用标准/规格书/测量论文确定功率、频段、带宽、占空比与空间密度，再将其映射为仿真可用的 EIRP、频谱耦合与 PPP 密度。</w:t>
      </w:r>
    </w:p>
    <w:p w14:paraId="61E4BFDF">
      <w:pPr>
        <w:pStyle w:val="4"/>
      </w:pPr>
      <w:r>
        <w:rPr>
          <w:rFonts w:ascii="Times New Roman" w:hAnsi="Times New Roman" w:eastAsia="黑体"/>
        </w:rPr>
        <w:t>4.1 共通的功率与链路预算映射</w:t>
      </w:r>
    </w:p>
    <w:p w14:paraId="7D285231">
      <w:r>
        <w:t>干扰源在仿真中通常以发射端等效全向辐射功率 EIRP 表示；由导出功率、天线增益与馈线损耗计算（式(18)）。功率单位换算使用式(19)。接收功率采用链路预算式(17)。[12]</w:t>
      </w:r>
    </w:p>
    <w:p w14:paraId="1A8ADBE5">
      <w:pPr>
        <w:jc w:val="center"/>
      </w:pPr>
      <w:r>
        <w:drawing>
          <wp:inline distT="0" distB="0" distL="114300" distR="114300">
            <wp:extent cx="5760720" cy="7124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707A">
      <w:pPr>
        <w:jc w:val="center"/>
      </w:pPr>
      <w:r>
        <w:rPr>
          <w:i/>
        </w:rPr>
        <w:t>(18) EIRP 计算</w:t>
      </w:r>
    </w:p>
    <w:p w14:paraId="44058D25">
      <w:pPr>
        <w:jc w:val="center"/>
      </w:pPr>
      <w:r>
        <w:drawing>
          <wp:inline distT="0" distB="0" distL="114300" distR="114300">
            <wp:extent cx="5760720" cy="688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9561">
      <w:pPr>
        <w:jc w:val="center"/>
      </w:pPr>
      <w:r>
        <w:rPr>
          <w:i/>
        </w:rPr>
        <w:t>(19) W 与 dBm 的换算</w:t>
      </w:r>
    </w:p>
    <w:p w14:paraId="258586A2">
      <w:pPr>
        <w:jc w:val="center"/>
      </w:pPr>
      <w:r>
        <w:drawing>
          <wp:inline distT="0" distB="0" distL="114300" distR="114300">
            <wp:extent cx="5760720" cy="7016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6ECC">
      <w:pPr>
        <w:jc w:val="center"/>
      </w:pPr>
      <w:r>
        <w:rPr>
          <w:i/>
        </w:rPr>
        <w:t>(17) 接收功率链路预算</w:t>
      </w:r>
    </w:p>
    <w:p w14:paraId="0E924F3E">
      <w:pPr>
        <w:pStyle w:val="4"/>
      </w:pPr>
      <w:r>
        <w:rPr>
          <w:rFonts w:ascii="Times New Roman" w:hAnsi="Times New Roman" w:eastAsia="黑体"/>
        </w:rPr>
        <w:t>4.2 类型 A：Wi‑Fi / ISM 设备（2.4GHz/5GHz 典型）</w:t>
      </w:r>
    </w:p>
    <w:p w14:paraId="406C6C57">
      <w:r>
        <w:t>（1）功率上限：47 CFR 15.247 给出跳频/数字调制系统的输出功率与功率谱密度限制，且当方向天线增益超过 6 dBi 时需按增益超额进行功率退让（式(20)）。文档条文中明确出现“0.125 watts（2400–2483.5 MHz）”与“1 watt（902–928 MHz、5725–5850 MHz 跳频等）”等限制文字。[12]</w:t>
      </w:r>
      <w:r>
        <w:br w:type="textWrapping"/>
      </w:r>
      <w:r>
        <w:t>（2）空间密度：大规模 wardriving 数据库可用于估计 AP 密度。Jones 等工作从数百万 AP 数据估计多个城市的 AP/km²（表 1），并讨论了标准 802.11b/g 名义覆盖半径约 100 m 的近似。[9] Wardriving 方法学对偏差与重复扫描影响有专门讨论，可用于“密度置信区间/偏差校正”。[10][11]</w:t>
      </w:r>
    </w:p>
    <w:p w14:paraId="0C4BDF96">
      <w:pPr>
        <w:jc w:val="center"/>
      </w:pPr>
      <w:r>
        <w:drawing>
          <wp:inline distT="0" distB="0" distL="114300" distR="114300">
            <wp:extent cx="5760720" cy="10591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4C15">
      <w:pPr>
        <w:jc w:val="center"/>
      </w:pPr>
      <w:r>
        <w:rPr>
          <w:i/>
        </w:rPr>
        <w:t>(20) 天线增益超 6 dBi 的功率退让（FCC 15.247）</w:t>
      </w:r>
    </w:p>
    <w:p w14:paraId="442BD7E5">
      <w:pPr>
        <w:jc w:val="center"/>
      </w:pPr>
      <w:r>
        <w:drawing>
          <wp:inline distT="0" distB="0" distL="114300" distR="114300">
            <wp:extent cx="5760720" cy="19221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9B51">
      <w:pPr>
        <w:jc w:val="center"/>
      </w:pPr>
      <w:r>
        <w:rPr>
          <w:i/>
        </w:rPr>
        <w:t>(21) AP 密度估计（APs/km²）</w:t>
      </w:r>
    </w:p>
    <w:p w14:paraId="478BB26A">
      <w:r>
        <w:t>表 1：Wi‑Fi AP 密度样例（由 wardriving 数据推断）[9]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0271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27F9AF">
            <w:r>
              <w:t>Region</w:t>
            </w:r>
          </w:p>
        </w:tc>
        <w:tc>
          <w:tcPr>
            <w:tcW w:w="2160" w:type="dxa"/>
          </w:tcPr>
          <w:p w14:paraId="4A6C39B6">
            <w:r>
              <w:t>Area (km2)</w:t>
            </w:r>
          </w:p>
        </w:tc>
        <w:tc>
          <w:tcPr>
            <w:tcW w:w="2160" w:type="dxa"/>
          </w:tcPr>
          <w:p w14:paraId="17C23C76">
            <w:r>
              <w:t>Access Points</w:t>
            </w:r>
          </w:p>
        </w:tc>
        <w:tc>
          <w:tcPr>
            <w:tcW w:w="2160" w:type="dxa"/>
          </w:tcPr>
          <w:p w14:paraId="39E1126F">
            <w:r>
              <w:t>Density (APs/km2)</w:t>
            </w:r>
          </w:p>
        </w:tc>
      </w:tr>
      <w:tr w14:paraId="35D2C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B66E33">
            <w:r>
              <w:t>U.S.</w:t>
            </w:r>
          </w:p>
        </w:tc>
        <w:tc>
          <w:tcPr>
            <w:tcW w:w="2160" w:type="dxa"/>
          </w:tcPr>
          <w:p w14:paraId="1D141AC4">
            <w:r>
              <w:t>9,166,600</w:t>
            </w:r>
          </w:p>
        </w:tc>
        <w:tc>
          <w:tcPr>
            <w:tcW w:w="2160" w:type="dxa"/>
          </w:tcPr>
          <w:p w14:paraId="58F068B0">
            <w:r>
              <w:t>5,615,451</w:t>
            </w:r>
          </w:p>
        </w:tc>
        <w:tc>
          <w:tcPr>
            <w:tcW w:w="2160" w:type="dxa"/>
          </w:tcPr>
          <w:p w14:paraId="35560EAC">
            <w:r>
              <w:t>0.6</w:t>
            </w:r>
          </w:p>
        </w:tc>
      </w:tr>
      <w:tr w14:paraId="75404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C97453">
            <w:r>
              <w:t>Las Vegas</w:t>
            </w:r>
          </w:p>
        </w:tc>
        <w:tc>
          <w:tcPr>
            <w:tcW w:w="2160" w:type="dxa"/>
          </w:tcPr>
          <w:p w14:paraId="70992C55">
            <w:r>
              <w:t>240</w:t>
            </w:r>
          </w:p>
        </w:tc>
        <w:tc>
          <w:tcPr>
            <w:tcW w:w="2160" w:type="dxa"/>
          </w:tcPr>
          <w:p w14:paraId="353ADA2B">
            <w:r>
              <w:t>26,069</w:t>
            </w:r>
          </w:p>
        </w:tc>
        <w:tc>
          <w:tcPr>
            <w:tcW w:w="2160" w:type="dxa"/>
          </w:tcPr>
          <w:p w14:paraId="0BD9C578">
            <w:r>
              <w:t>109</w:t>
            </w:r>
          </w:p>
        </w:tc>
      </w:tr>
      <w:tr w14:paraId="6BD3B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A93327">
            <w:r>
              <w:t>Kansas City</w:t>
            </w:r>
          </w:p>
        </w:tc>
        <w:tc>
          <w:tcPr>
            <w:tcW w:w="2160" w:type="dxa"/>
          </w:tcPr>
          <w:p w14:paraId="74C2A084">
            <w:r>
              <w:t>270</w:t>
            </w:r>
          </w:p>
        </w:tc>
        <w:tc>
          <w:tcPr>
            <w:tcW w:w="2160" w:type="dxa"/>
          </w:tcPr>
          <w:p w14:paraId="14775DC3">
            <w:r>
              <w:t>29,438</w:t>
            </w:r>
          </w:p>
        </w:tc>
        <w:tc>
          <w:tcPr>
            <w:tcW w:w="2160" w:type="dxa"/>
          </w:tcPr>
          <w:p w14:paraId="752CC83F">
            <w:r>
              <w:t>109</w:t>
            </w:r>
          </w:p>
        </w:tc>
      </w:tr>
      <w:tr w14:paraId="5863F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969EA2">
            <w:r>
              <w:t>Atlanta</w:t>
            </w:r>
          </w:p>
        </w:tc>
        <w:tc>
          <w:tcPr>
            <w:tcW w:w="2160" w:type="dxa"/>
          </w:tcPr>
          <w:p w14:paraId="6268669E">
            <w:r>
              <w:t>460</w:t>
            </w:r>
          </w:p>
        </w:tc>
        <w:tc>
          <w:tcPr>
            <w:tcW w:w="2160" w:type="dxa"/>
          </w:tcPr>
          <w:p w14:paraId="5DB44188">
            <w:r>
              <w:t>65,364</w:t>
            </w:r>
          </w:p>
        </w:tc>
        <w:tc>
          <w:tcPr>
            <w:tcW w:w="2160" w:type="dxa"/>
          </w:tcPr>
          <w:p w14:paraId="1DF4D70C">
            <w:r>
              <w:t>142</w:t>
            </w:r>
          </w:p>
        </w:tc>
      </w:tr>
      <w:tr w14:paraId="4D694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975F11">
            <w:r>
              <w:t>San Francisco</w:t>
            </w:r>
          </w:p>
        </w:tc>
        <w:tc>
          <w:tcPr>
            <w:tcW w:w="2160" w:type="dxa"/>
          </w:tcPr>
          <w:p w14:paraId="40F84B06">
            <w:r>
              <w:t>213</w:t>
            </w:r>
          </w:p>
        </w:tc>
        <w:tc>
          <w:tcPr>
            <w:tcW w:w="2160" w:type="dxa"/>
          </w:tcPr>
          <w:p w14:paraId="715AE114">
            <w:r>
              <w:t>69,502</w:t>
            </w:r>
          </w:p>
        </w:tc>
        <w:tc>
          <w:tcPr>
            <w:tcW w:w="2160" w:type="dxa"/>
          </w:tcPr>
          <w:p w14:paraId="00BDCDAF">
            <w:r>
              <w:t>326</w:t>
            </w:r>
          </w:p>
        </w:tc>
      </w:tr>
      <w:tr w14:paraId="703A6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BD8109">
            <w:r>
              <w:t>Seattle</w:t>
            </w:r>
          </w:p>
        </w:tc>
        <w:tc>
          <w:tcPr>
            <w:tcW w:w="2160" w:type="dxa"/>
          </w:tcPr>
          <w:p w14:paraId="20AC3CC5">
            <w:r>
              <w:t>165</w:t>
            </w:r>
          </w:p>
        </w:tc>
        <w:tc>
          <w:tcPr>
            <w:tcW w:w="2160" w:type="dxa"/>
          </w:tcPr>
          <w:p w14:paraId="6A32702A">
            <w:r>
              <w:t>64,923</w:t>
            </w:r>
          </w:p>
        </w:tc>
        <w:tc>
          <w:tcPr>
            <w:tcW w:w="2160" w:type="dxa"/>
          </w:tcPr>
          <w:p w14:paraId="6DFC240F">
            <w:r>
              <w:t>395</w:t>
            </w:r>
          </w:p>
        </w:tc>
      </w:tr>
      <w:tr w14:paraId="51DA3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135CAD">
            <w:r>
              <w:t>Boston</w:t>
            </w:r>
          </w:p>
        </w:tc>
        <w:tc>
          <w:tcPr>
            <w:tcW w:w="2160" w:type="dxa"/>
          </w:tcPr>
          <w:p w14:paraId="1C19AC74">
            <w:r>
              <w:t>225</w:t>
            </w:r>
          </w:p>
        </w:tc>
        <w:tc>
          <w:tcPr>
            <w:tcW w:w="2160" w:type="dxa"/>
          </w:tcPr>
          <w:p w14:paraId="6FEC6A1D">
            <w:r>
              <w:t>164,072</w:t>
            </w:r>
          </w:p>
        </w:tc>
        <w:tc>
          <w:tcPr>
            <w:tcW w:w="2160" w:type="dxa"/>
          </w:tcPr>
          <w:p w14:paraId="23CFBAD5">
            <w:r>
              <w:t>729</w:t>
            </w:r>
          </w:p>
        </w:tc>
      </w:tr>
      <w:tr w14:paraId="43C26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854220">
            <w:r>
              <w:t>Manhattan</w:t>
            </w:r>
          </w:p>
        </w:tc>
        <w:tc>
          <w:tcPr>
            <w:tcW w:w="2160" w:type="dxa"/>
          </w:tcPr>
          <w:p w14:paraId="674A4F2A">
            <w:r>
              <w:t>105</w:t>
            </w:r>
          </w:p>
        </w:tc>
        <w:tc>
          <w:tcPr>
            <w:tcW w:w="2160" w:type="dxa"/>
          </w:tcPr>
          <w:p w14:paraId="78A9B0F3">
            <w:r>
              <w:t>194,651</w:t>
            </w:r>
          </w:p>
        </w:tc>
        <w:tc>
          <w:tcPr>
            <w:tcW w:w="2160" w:type="dxa"/>
          </w:tcPr>
          <w:p w14:paraId="495C1F02">
            <w:r>
              <w:t>1,854</w:t>
            </w:r>
          </w:p>
        </w:tc>
      </w:tr>
    </w:tbl>
    <w:p w14:paraId="0BE1068A">
      <w:r>
        <w:t>注：表中数值由 PDF 表格抽取并保持原样。[9]</w:t>
      </w:r>
    </w:p>
    <w:p w14:paraId="050F102B">
      <w:pPr>
        <w:pStyle w:val="4"/>
      </w:pPr>
      <w:r>
        <w:rPr>
          <w:rFonts w:ascii="Times New Roman" w:hAnsi="Times New Roman" w:eastAsia="黑体"/>
        </w:rPr>
        <w:t>4.3 类型 B：蜂窝网络（LTE/5G NR 终端与基站）</w:t>
      </w:r>
    </w:p>
    <w:p w14:paraId="41E36120">
      <w:r>
        <w:t>蜂窝干扰源包括：地面基站下行、地面/空中终端上行，以及与 UAV 相关的上行关联/功控/干扰协调机制。[19–21]</w:t>
      </w:r>
      <w:r>
        <w:br w:type="textWrapping"/>
      </w:r>
      <w:r>
        <w:t>（1）功率标定：对于 5G NR，ETSI/3GPP TS 38.101‑1 在功率等级（Power Class）框架下给出默认 Power Class 3 与 23 dBm 的对应关系，并在多频段表格中列出功率要求与容差。[16]</w:t>
      </w:r>
      <w:r>
        <w:br w:type="textWrapping"/>
      </w:r>
      <w:r>
        <w:t>（2）空间生成：基站可采用规则网格或 PPP；终端可用 PPP 或聚簇过程，密度由场景（热点/街区）与业务模型决定。[23]</w:t>
      </w:r>
      <w:r>
        <w:br w:type="textWrapping"/>
      </w:r>
      <w:r>
        <w:t>（3）频谱耦合：当干扰源与受害链路频段不一致时，需要考虑邻道泄漏与接收选择性（ACLR/ACS）形成的邻道干扰比（ACIR）并折算到有效干扰功率；该类思想在干扰管理综述中系统讨论。[25]</w:t>
      </w:r>
    </w:p>
    <w:p w14:paraId="35BBE8E0">
      <w:pPr>
        <w:pStyle w:val="4"/>
      </w:pPr>
      <w:r>
        <w:rPr>
          <w:rFonts w:ascii="Times New Roman" w:hAnsi="Times New Roman" w:eastAsia="黑体"/>
        </w:rPr>
        <w:t>4.4 类型 C：Ku 频段卫星终端/BUC（高 EIRP 定向发射）</w:t>
      </w:r>
    </w:p>
    <w:p w14:paraId="5E28AA8D">
      <w:r>
        <w:t>卫星终端干扰具有：高 EIRP、强方向性、较高载频。</w:t>
      </w:r>
      <w:r>
        <w:br w:type="textWrapping"/>
      </w:r>
      <w:r>
        <w:t>（1）功率点标定：NJT5307 标称 4W Ku‑Band BUC，且参数表中给出 P1dB≈36 dBm；可作为导出功率标定点，再结合天线增益得到 EIRP。[14]</w:t>
      </w:r>
      <w:r>
        <w:br w:type="textWrapping"/>
      </w:r>
      <w:r>
        <w:t>（2）直接 EIRP 标定：SWARMKu 终端规格直接给出 EIRP（例如 47.0 dBW），可直接用于仿真建模。[15]</w:t>
      </w:r>
      <w:r>
        <w:br w:type="textWrapping"/>
      </w:r>
      <w:r>
        <w:t>（3）同类外推：对 8W Ku‑Band BUC（Norsat）可按“额定输出功率→dBm→EIRP”路径进行标定（式(18)–(19)），具体数值以规格书为准。[13]</w:t>
      </w:r>
    </w:p>
    <w:p w14:paraId="1FE580F4">
      <w:pPr>
        <w:pStyle w:val="4"/>
      </w:pPr>
      <w:r>
        <w:rPr>
          <w:rFonts w:ascii="Times New Roman" w:hAnsi="Times New Roman" w:eastAsia="黑体"/>
        </w:rPr>
        <w:t>4.5 类型 D：GNSS 干扰/宽带 RFI 与主动干扰源（Jammer）</w:t>
      </w:r>
    </w:p>
    <w:p w14:paraId="4C517EF9">
      <w:r>
        <w:t>GNSS 干扰的特征在于：受害信号极弱，低功率干扰也可造成显著退化。Crosta 的 Jammertest 2023 报告提供了多频段 RFI 监测与分类、以及实际测试组织方式，可用于定义干扰源的“出现概率、持续时间（占空比）与频段集合”。[26]</w:t>
      </w:r>
      <w:r>
        <w:br w:type="textWrapping"/>
      </w:r>
      <w:r>
        <w:t>对于城市微波链路与密集城区的 RFI 测量，相关论文给出测量链路、统计特性与空间差异，可用于校准“背景 RFI 噪声地板”或特定频段的干扰强度先验。[22]</w:t>
      </w:r>
    </w:p>
    <w:p w14:paraId="291155DC">
      <w:pPr>
        <w:pStyle w:val="3"/>
      </w:pPr>
      <w:r>
        <w:rPr>
          <w:rFonts w:ascii="Times New Roman" w:hAnsi="Times New Roman" w:eastAsia="黑体"/>
        </w:rPr>
        <w:t>5 无人机飞行速度、动力学与能耗模型</w:t>
      </w:r>
    </w:p>
    <w:p w14:paraId="5E0B6581">
      <w:r>
        <w:t>能耗模型用于将“飞行速度/轨迹”转化为任务能量约束或优化目标。旋翼无人机推进功率模型通常包含轮廓功率、诱导功率与寄生功率三部分，可写为式(22)，能量为式(23)。该模型在“Energy Minimization for Wireless Communication with Rotary‑Wing UAV”等工作中给出明确表达，并解释参数含义与标定方式。[17]</w:t>
      </w:r>
    </w:p>
    <w:p w14:paraId="7BA37BDC">
      <w:pPr>
        <w:jc w:val="center"/>
      </w:pPr>
      <w:r>
        <w:drawing>
          <wp:inline distT="0" distB="0" distL="114300" distR="114300">
            <wp:extent cx="5760720" cy="8947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B0DE">
      <w:pPr>
        <w:jc w:val="center"/>
      </w:pPr>
      <w:r>
        <w:rPr>
          <w:i/>
        </w:rPr>
        <w:t>(22) 旋翼无人机推进功率模型（示例）</w:t>
      </w:r>
    </w:p>
    <w:p w14:paraId="77EE29DB">
      <w:pPr>
        <w:jc w:val="center"/>
      </w:pPr>
      <w:r>
        <w:drawing>
          <wp:inline distT="0" distB="0" distL="114300" distR="114300">
            <wp:extent cx="5760720" cy="24168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DE5A">
      <w:pPr>
        <w:jc w:val="center"/>
      </w:pPr>
      <w:r>
        <w:rPr>
          <w:i/>
        </w:rPr>
        <w:t>(23) 任务能耗（推进能量）</w:t>
      </w:r>
    </w:p>
    <w:p w14:paraId="027AC107">
      <w:pPr>
        <w:pStyle w:val="3"/>
      </w:pPr>
      <w:r>
        <w:rPr>
          <w:rFonts w:ascii="Times New Roman" w:hAnsi="Times New Roman" w:eastAsia="黑体"/>
        </w:rPr>
        <w:t>6 通信劣化指标：总公式、原理、依据与可解释性</w:t>
      </w:r>
    </w:p>
    <w:p w14:paraId="31C30B42">
      <w:r>
        <w:t>通信劣化可从三类量度定义：</w:t>
      </w:r>
      <w:r>
        <w:br w:type="textWrapping"/>
      </w:r>
      <w:r>
        <w:t>（i）链路预算/功率裕量：由接收功率与接收机灵敏度定义（式(24)）。[18]</w:t>
      </w:r>
      <w:r>
        <w:br w:type="textWrapping"/>
      </w:r>
      <w:r>
        <w:t>（ii）物理层质量：SNR/SINR（式(15)–(16)）及其低于门限的概率（Outage）。[18][21]</w:t>
      </w:r>
      <w:r>
        <w:br w:type="textWrapping"/>
      </w:r>
      <w:r>
        <w:t>（iii）业务层：速率 R=B\log_2(1+SINR) 与目标速率差。</w:t>
      </w:r>
      <w:r>
        <w:br w:type="textWrapping"/>
      </w:r>
      <w:r>
        <w:t>综合劣化指标 CDI 可采用加权结构（式(25)），其中权重与归一化方式需在实验中标定，使得不同子指标在数值上可比。[25]</w:t>
      </w:r>
    </w:p>
    <w:p w14:paraId="094A5634">
      <w:pPr>
        <w:jc w:val="center"/>
      </w:pPr>
      <w:r>
        <w:drawing>
          <wp:inline distT="0" distB="0" distL="114300" distR="114300">
            <wp:extent cx="5760720" cy="31521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5128">
      <w:pPr>
        <w:jc w:val="center"/>
      </w:pPr>
      <w:r>
        <w:rPr>
          <w:i/>
        </w:rPr>
        <w:t>(15) 信噪比</w:t>
      </w:r>
    </w:p>
    <w:p w14:paraId="31F6A84F">
      <w:pPr>
        <w:jc w:val="center"/>
      </w:pPr>
      <w:r>
        <w:drawing>
          <wp:inline distT="0" distB="0" distL="114300" distR="114300">
            <wp:extent cx="5760720" cy="26587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881E">
      <w:pPr>
        <w:jc w:val="center"/>
      </w:pPr>
      <w:r>
        <w:rPr>
          <w:i/>
        </w:rPr>
        <w:t>(16) 信干噪比</w:t>
      </w:r>
    </w:p>
    <w:p w14:paraId="2D9385F2">
      <w:pPr>
        <w:jc w:val="center"/>
      </w:pPr>
      <w:r>
        <w:drawing>
          <wp:inline distT="0" distB="0" distL="114300" distR="114300">
            <wp:extent cx="5760720" cy="13620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36AA">
      <w:pPr>
        <w:jc w:val="center"/>
      </w:pPr>
      <w:r>
        <w:rPr>
          <w:i/>
        </w:rPr>
        <w:t>(24) 功率裕量定义</w:t>
      </w:r>
    </w:p>
    <w:p w14:paraId="2AACBDBF">
      <w:pPr>
        <w:jc w:val="center"/>
      </w:pPr>
      <w:r>
        <w:drawing>
          <wp:inline distT="0" distB="0" distL="114300" distR="114300">
            <wp:extent cx="5760720" cy="7118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7EC3">
      <w:pPr>
        <w:jc w:val="center"/>
      </w:pPr>
      <w:r>
        <w:rPr>
          <w:i/>
        </w:rPr>
        <w:t>(25) 通信劣化综合指标（示例结构）</w:t>
      </w:r>
    </w:p>
    <w:p w14:paraId="768E7358">
      <w:pPr>
        <w:pStyle w:val="3"/>
      </w:pPr>
      <w:r>
        <w:rPr>
          <w:rFonts w:ascii="Times New Roman" w:hAnsi="Times New Roman" w:eastAsia="黑体"/>
        </w:rPr>
        <w:t>7 优化框架：遗传算法（GA）形式化与实现要点（去代码化描述）</w:t>
      </w:r>
    </w:p>
    <w:p w14:paraId="065EBDA5">
      <w:r>
        <w:t>遗传算法用于在非凸、离散/连续混合的搜索空间中寻优。本文仅保留“形式化描述”，不包含具体代码实现：</w:t>
      </w:r>
      <w:r>
        <w:br w:type="textWrapping"/>
      </w:r>
      <w:r>
        <w:t>（1）个体编码：将无人机变量（高度、速度、航点/轨迹参数）与干扰源变量（类型、位置、功率、占空比、频段）拼接为染色体。</w:t>
      </w:r>
      <w:r>
        <w:br w:type="textWrapping"/>
      </w:r>
      <w:r>
        <w:t>（2）适应度：以 CDI 或其多目标版本为适应度；若为多目标，采用 Pareto 排序与拥挤距离。</w:t>
      </w:r>
      <w:r>
        <w:br w:type="textWrapping"/>
      </w:r>
      <w:r>
        <w:t>（3）约束处理：对场景语义、法规功率上限、飞行动力学约束采用罚函数或可行性修复。</w:t>
      </w:r>
      <w:r>
        <w:br w:type="textWrapping"/>
      </w:r>
      <w:r>
        <w:t>（4）算子：实数编码交叉/变异，离散变量使用分类变异；对位置变量可加入高斯扰动与边界投影。</w:t>
      </w:r>
      <w:r>
        <w:br w:type="textWrapping"/>
      </w:r>
      <w:r>
        <w:t>（5）终止：迭代次数/适应度收敛/可行解比例达标。</w:t>
      </w:r>
      <w:r>
        <w:br w:type="textWrapping"/>
      </w:r>
      <w:r>
        <w:t>该框架可与 UAV 通信轨迹/资源优化类工作中常见的“混合变量、复杂约束”求解需求对应。[18][21]</w:t>
      </w:r>
    </w:p>
    <w:p w14:paraId="5AA6BA6F">
      <w:pPr>
        <w:pStyle w:val="3"/>
      </w:pPr>
      <w:r>
        <w:rPr>
          <w:rFonts w:ascii="Times New Roman" w:hAnsi="Times New Roman" w:eastAsia="黑体"/>
        </w:rPr>
        <w:t>8 全文总结与后续可扩展方向</w:t>
      </w:r>
    </w:p>
    <w:p w14:paraId="1FF0574F">
      <w:r>
        <w:t>本文给出“去代码化”的论文大纲，强调可追溯的模型与标定链路：从标准/规格书确定功率与法规约束，从测量/统计论文确定密度与时空变化，从 ITU/3GPP/经典 A2G 文献确定路损与遮挡处理，从能效论文确定速度-能耗关系，最终统一到可解释的通信劣化指标与优化框架。后续可扩展：引入真实 GIS、频谱占用实测数据、方向图与极化、以及多无人机协同/对抗博弈建模。[18][21][25]</w:t>
      </w:r>
    </w:p>
    <w:p w14:paraId="503AD1CE">
      <w:pPr>
        <w:pStyle w:val="3"/>
      </w:pPr>
      <w:r>
        <w:rPr>
          <w:rFonts w:ascii="Times New Roman" w:hAnsi="Times New Roman" w:eastAsia="黑体"/>
        </w:rPr>
        <w:t>参考文献</w:t>
      </w:r>
    </w:p>
    <w:p w14:paraId="4E87B7CB">
      <w:r>
        <w:t>[1] ITU-R Recommendation P.1238-13: Propagation data and prediction methods for the planning of indoor radiocommunication systems and radio local area networks in the frequency range 300 MHz to 450 GHz. PDF: R-REC-P.1238-13-202509-I!!PDF-E.pdf.</w:t>
      </w:r>
    </w:p>
    <w:p w14:paraId="47340F1F">
      <w:r>
        <w:t>[2] ITU-R Recommendation P.2108-1: Prediction of clutter loss. PDF: R-REC-P.2108-1-202109-I!!PDF-E.pdf.</w:t>
      </w:r>
    </w:p>
    <w:p w14:paraId="4D9639D3">
      <w:r>
        <w:t>[3] ITU-R Recommendation P.2109-2: Prediction of building entry loss. PDF: R-REC-P.2109-2-202308-I!!PDF-E.pdf.</w:t>
      </w:r>
    </w:p>
    <w:p w14:paraId="1B2A8A56">
      <w:r>
        <w:t>[4] ITU-R Recommendation P.2040-4: Effects of building materials and structures on radiowave propagation. PDF: R-REC-P.2040-4-202509-I!!PDF-C.pdf.</w:t>
      </w:r>
    </w:p>
    <w:p w14:paraId="33CB8F97">
      <w:r>
        <w:t>[5] A. Al-Hourani, S. Kandeepan, and S. Lardner, “Optimal LAP Altitude for Maximum Coverage,” IEEE Wireless Communications Letters, 2014. PDF: Optimal_LAP_Altitude_for_Maximum_Coverage.pdf.</w:t>
      </w:r>
    </w:p>
    <w:p w14:paraId="10C9ACA2">
      <w:r>
        <w:t>[6] “Modeling air-to-ground path loss for low altitude platforms in urban environments.” PDF: Modeling_air-to-ground_path_loss_for_low_altitude_platforms_in_urban_environments.pdf.</w:t>
      </w:r>
    </w:p>
    <w:p w14:paraId="172566FF">
      <w:r>
        <w:t>[7] “Height-Dependent LoS Probability Model for A2G.” PDF: Height-Dependent LoS Probability Model for A2G.pdf.</w:t>
      </w:r>
    </w:p>
    <w:p w14:paraId="139D76A1">
      <w:r>
        <w:t>[8] A. Williams, S. Barrus, R. K. Morley, P. Shirley, “An Efficient and Robust Ray–Box Intersection Algorithm,” SIGGRAPH Courses, 2005. URL: https://people.csail.mit.edu/amy/papers/box-jgt.pdf.</w:t>
      </w:r>
    </w:p>
    <w:p w14:paraId="755CB747">
      <w:r>
        <w:t>[9] “An Analysis of Millions of Wi‑Fi Access Points.” PDF: An Analysis of Millions of Wi-Fi Access Points.pdf.</w:t>
      </w:r>
    </w:p>
    <w:p w14:paraId="78C96F9D">
      <w:r>
        <w:t>[10] “Wi‑Fi Wardriving Studies Must Account for …” PDF: Wi-Fi Wardriving Studies Must Account for.pdf.</w:t>
      </w:r>
    </w:p>
    <w:p w14:paraId="5B44C9EF">
      <w:r>
        <w:t>[11] “Measurements and analysis of temporal and spatial variability of WiFi.” PDF: Measurements and analysis of temporal and spatial variability of WiFi.pdf.</w:t>
      </w:r>
    </w:p>
    <w:p w14:paraId="4519F9D7">
      <w:r>
        <w:t>[12] 47 CFR §15.247 (updated 2025‑12‑29). PDF: 47 CFR 15.247 (up to date as of 12-29-2025).pdf.</w:t>
      </w:r>
    </w:p>
    <w:p w14:paraId="0D3DFA0F">
      <w:r>
        <w:t>[13] Norsat Ku-Band BUC datasheet. PDF: norsat_ELMTBKU008T-SF_Rev_A_6954c7df854a7.pdf.</w:t>
      </w:r>
    </w:p>
    <w:p w14:paraId="505E3C73">
      <w:r>
        <w:t>[14] New Japan Radio Co., Ltd., NJT5307 4W Ku‑Band BUC datasheet. PDF: NJT5307-4W KU-Band BUC.pdf.</w:t>
      </w:r>
    </w:p>
    <w:p w14:paraId="04441932">
      <w:r>
        <w:t>[15] Paradigm / Intelsat FlexMove SWARMKu tech specs (EIRP given). PDF: intelsat-flexmove-Paradigm-Swarm-techspecs-002.pdf.</w:t>
      </w:r>
    </w:p>
    <w:p w14:paraId="01B38BA3">
      <w:r>
        <w:t>[16] ETSI TS 138 101-1 V15.23.0 (3GPP TS 38.101-1 Release 15): NR UE radio transmission and reception; Part 1: Range 1 Standalone. URL: https://www.etsi.org/deliver/etsi_ts/138100_138199/13810101/15.23.00_60/ts_13810101v152300p.pdf.</w:t>
      </w:r>
    </w:p>
    <w:p w14:paraId="4211D77D">
      <w:r>
        <w:t>[17] Y. Zeng, J. Xu, R. Zhang, “Energy Minimization for Wireless Communication with Rotary‑Wing UAV,” arXiv:1804.02238. URL: https://arxiv.org/pdf/1804.02238v1.</w:t>
      </w:r>
    </w:p>
    <w:p w14:paraId="39B8FC1D">
      <w:r>
        <w:t>[18] Y. Zeng, Q. Wu, R. Zhang, “Accessing From the Sky: A Tutorial on UAV Communications for 5G and Beyond,” Proceedings of the IEEE, 2019. PDF: Accessing_From_the_Sky_A_Tutorial_on_UAV_Communications_for_5G_and_Beyond.pdf.</w:t>
      </w:r>
    </w:p>
    <w:p w14:paraId="22C7892C">
      <w:r>
        <w:t>[19] “The Sky Is Not the Limit: LTE for Unmanned Aerial Vehicles.” PDF: The_Sky_Is_Not_the_Limit_LTE_for_Unmanned_Aerial_Vehicles.pdf.</w:t>
      </w:r>
    </w:p>
    <w:p w14:paraId="385291BE">
      <w:r>
        <w:t>[20] “Aerial-Ground Interference Mitigation for Cellular-Connected UAV.” PDF: Aerial-Ground_Interference_Mitigation_for_Cellular-Connected_UAV.pdf.</w:t>
      </w:r>
    </w:p>
    <w:p w14:paraId="20C6A5BE">
      <w:r>
        <w:t>[21] “Cellular-Connected UAV: Recent Advances and Future Trends.” PDF: Cellular-Connected_UAV_Recent_Advances_and_Future_Trends.pdf.</w:t>
      </w:r>
    </w:p>
    <w:p w14:paraId="1E695B03">
      <w:r>
        <w:t>[22] “Performance Evaluation of Radio Frequency Interference Measurements from Microwave Links in Dense Urban Cities.” PDF: Performance Evaluation of Radio Frequency Interference Measurements from Microwave Links in Dense Urban Cities.pdf.</w:t>
      </w:r>
    </w:p>
    <w:p w14:paraId="4956C0AB">
      <w:r>
        <w:t>[23] “Modeling dense urban wireless networks with 3D stochastic …” PDF: Modeling dense urban wireless networks with 3D stochastic.pdf.</w:t>
      </w:r>
    </w:p>
    <w:p w14:paraId="074F863F">
      <w:r>
        <w:t>[24] “The Connectivity of Millimeter-Wave Networks in Urban …” PDF: The Connectivity of Millimeter-Wave Networks in Urban.pdf.</w:t>
      </w:r>
    </w:p>
    <w:p w14:paraId="4E224FCF">
      <w:r>
        <w:t>[25] “5G and Beyond Interference Management.” PDF: 5G_and_Beyond_Interference_Management-HAL-2023.pdf.</w:t>
      </w:r>
    </w:p>
    <w:p w14:paraId="6A3EED49">
      <w:r>
        <w:t>[26] P. Crosta, “How robust are GNSS signals? Experiences from Jammertest 2023.” PDF: Crosta_Jammertest23_NID2023.pdf.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29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1718</Words>
  <Characters>2193</Characters>
  <Lines>0</Lines>
  <Paragraphs>0</Paragraphs>
  <TotalTime>0</TotalTime>
  <ScaleCrop>false</ScaleCrop>
  <LinksUpToDate>false</LinksUpToDate>
  <CharactersWithSpaces>2327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morty</cp:lastModifiedBy>
  <dcterms:modified xsi:type="dcterms:W3CDTF">2026-01-03T08:10:18Z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87211647E5FD4221B17A432447CE7778_13</vt:lpwstr>
  </property>
</Properties>
</file>