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color w:val="5F5E5A"/>
          <w:sz w:val="22"/>
          <w:szCs w:val="22"/>
        </w:rPr>
        <w:t xml:space="preserve">UPS 2025 Annual Shipping Performance</w:t>
      </w:r>
    </w:p>
    <w:p>
      <w:pPr>
        <w:spacing w:after="100" w:before="70"/>
      </w:pPr>
      <w:r>
        <w:rPr>
          <w:b/>
          <w:bCs/>
          <w:color w:val="1A1A1A"/>
          <w:sz w:val="46"/>
          <w:szCs w:val="46"/>
        </w:rPr>
        <w:t xml:space="preserve">Converting the Power BI Template</w:t>
      </w:r>
    </w:p>
    <w:p>
      <w:pPr>
        <w:spacing w:after="260"/>
      </w:pPr>
      <w:r>
        <w:rPr>
          <w:color w:val="1F5FA9"/>
          <w:sz w:val="26"/>
          <w:szCs w:val="26"/>
        </w:rPr>
        <w:t xml:space="preserve">From .pbit to .pbix — step by step, with verification</w:t>
      </w:r>
    </w:p>
    <w:p>
      <w:pPr>
        <w:pBdr>
          <w:top w:val="single" w:color="D8D7D0" w:sz="6" w:space="10"/>
        </w:pBdr>
        <w:spacing w:after="90"/>
      </w:pPr>
    </w:p>
    <w:p>
      <w:pPr>
        <w:spacing w:after="130" w:before="0" w:line="278"/>
      </w:pPr>
      <w:r>
        <w:rPr>
          <w:color w:val="5F5E5A"/>
          <w:sz w:val="21"/>
          <w:szCs w:val="21"/>
        </w:rPr>
        <w:t xml:space="preserve">File: </w:t>
      </w:r>
      <w:r>
        <w:rPr>
          <w:rFonts w:ascii="Consolas" w:cs="Consolas" w:eastAsia="Consolas" w:hAnsi="Consolas"/>
          <w:color w:val="1A3A5A"/>
          <w:sz w:val="19"/>
          <w:szCs w:val="19"/>
        </w:rPr>
        <w:t xml:space="preserve">dist/UPS_2025_Executive_Dashboard.pbit</w:t>
      </w:r>
    </w:p>
    <w:p>
      <w:pPr>
        <w:spacing w:after="130" w:before="0" w:line="278"/>
      </w:pPr>
      <w:r>
        <w:rPr>
          <w:color w:val="5F5E5A"/>
          <w:sz w:val="21"/>
          <w:szCs w:val="21"/>
        </w:rPr>
        <w:t xml:space="preserve">Contents: </w:t>
      </w:r>
      <w:r>
        <w:rPr>
          <w:color w:val="5F5E5A"/>
          <w:sz w:val="21"/>
          <w:szCs w:val="21"/>
        </w:rPr>
        <w:t xml:space="preserve">8 tables · 11 relationships · 112 measures · 8 report pages · 70 visuals</w:t>
      </w:r>
    </w:p>
    <w:p>
      <w:pPr>
        <w:spacing w:after="130" w:before="0" w:line="278"/>
      </w:pPr>
      <w:r>
        <w:rPr>
          <w:color w:val="5F5E5A"/>
          <w:sz w:val="21"/>
          <w:szCs w:val="21"/>
        </w:rPr>
        <w:t xml:space="preserve">Requires: </w:t>
      </w:r>
      <w:r>
        <w:rPr>
          <w:color w:val="5F5E5A"/>
          <w:sz w:val="21"/>
          <w:szCs w:val="21"/>
        </w:rPr>
        <w:t xml:space="preserve">Power BI Desktop (free), Windows. Roughly 15 minutes end to end.</w:t>
      </w:r>
    </w:p>
    <w:p>
      <w:pPr>
        <w:pBdr>
          <w:left w:val="single" w:color="8A5A00" w:sz="18" w:space="10"/>
        </w:pBdr>
        <w:shd w:fill="F3F5F8" w:val="clear"/>
        <w:spacing w:after="0" w:before="170" w:line="278"/>
        <w:ind w:left="170" w:right="170"/>
      </w:pPr>
      <w:r>
        <w:rPr>
          <w:b/>
          <w:bCs/>
          <w:color w:val="8A5A00"/>
          <w:sz w:val="20"/>
          <w:szCs w:val="20"/>
        </w:rPr>
        <w:t xml:space="preserve">Read this first</w:t>
      </w:r>
    </w:p>
    <w:p>
      <w:pPr>
        <w:pBdr>
          <w:left w:val="single" w:color="8A5A00" w:sz="18" w:space="10"/>
        </w:pBdr>
        <w:shd w:fill="F3F5F8" w:val="clear"/>
        <w:spacing w:after="210" w:before="50" w:line="278"/>
        <w:ind w:left="170" w:right="170"/>
      </w:pPr>
      <w:r>
        <w:rPr>
          <w:color w:val="1A1A1A"/>
          <w:sz w:val="20"/>
          <w:szCs w:val="20"/>
        </w:rPr>
        <w:t xml:space="preserve">This template has not been opened in Power BI Desktop. It was generated in a Linux environment where no copy of Desktop exists. Everything checkable without one is validated — file encodings, the package manifest, the model schema, and every field reference in every visual — and the generator refuses to emit a file that fails those checks. But the first open is still a test. Section 10 covers what to do if it fails, and there are two working fallbacks.</w:t>
      </w:r>
    </w:p>
    <w:p>
      <w:r>
        <w:br w:type="page"/>
      </w:r>
    </w:p>
    <w:p>
      <w:pPr>
        <w:pStyle w:val="Heading1"/>
        <w:spacing w:after="170" w:before="380"/>
      </w:pPr>
      <w:r>
        <w:rPr>
          <w:b/>
          <w:bCs/>
          <w:color w:val="1A1A1A"/>
          <w:sz w:val="30"/>
          <w:szCs w:val="30"/>
        </w:rPr>
        <w:t xml:space="preserve">1. Why there is a template and not a .pbix</w:t>
      </w:r>
    </w:p>
    <w:p>
      <w:pPr>
        <w:spacing w:after="130" w:before="0" w:line="278"/>
      </w:pPr>
      <w:r>
        <w:rPr>
          <w:color w:val="1A1A1A"/>
          <w:sz w:val="21"/>
          <w:szCs w:val="21"/>
        </w:rPr>
        <w:t xml:space="preserve">A .pbix stores its data model in a part called DataModel: the Analysis Services tabular model, serialised in a proprietary compressed format that only Power BI Desktop and the Analysis Services engine can write. No external tool produces one — not Microsoft's, not anyone's.</w:t>
      </w:r>
    </w:p>
    <w:p>
      <w:pPr>
        <w:spacing w:after="130" w:before="0" w:line="278"/>
      </w:pPr>
      <w:r>
        <w:rPr>
          <w:color w:val="1A1A1A"/>
          <w:sz w:val="21"/>
          <w:szCs w:val="21"/>
        </w:rPr>
        <w:t xml:space="preserve">A .pbit is the same package with the data removed and the model expressed as plain TMSL JSON, which can be authored externally. Opening it in Desktop loads your data and materialises a live model. The first Save As is the step that mints the .pbix.</w:t>
      </w:r>
    </w:p>
    <w:p>
      <w:pPr>
        <w:spacing w:after="130" w:before="0" w:line="278"/>
      </w:pPr>
      <w:r>
        <w:rPr>
          <w:color w:val="1A1A1A"/>
          <w:sz w:val="21"/>
          <w:szCs w:val="21"/>
        </w:rPr>
        <w:t xml:space="preserve">So the template is not a lesser deliverable. It is the only form this can take before it has been through Desktop once, and </w:t>
      </w:r>
      <w:r>
        <w:rPr>
          <w:b/>
          <w:bCs/>
          <w:color w:val="1A1A1A"/>
          <w:sz w:val="21"/>
          <w:szCs w:val="21"/>
        </w:rPr>
        <w:t xml:space="preserve">that pass is what these directions walk through.</w:t>
      </w:r>
    </w:p>
    <w:p>
      <w:pPr>
        <w:pStyle w:val="Heading1"/>
        <w:spacing w:after="170" w:before="380"/>
      </w:pPr>
      <w:r>
        <w:rPr>
          <w:b/>
          <w:bCs/>
          <w:color w:val="1A1A1A"/>
          <w:sz w:val="30"/>
          <w:szCs w:val="30"/>
        </w:rPr>
        <w:t xml:space="preserve">2. Before you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You need</w:t>
            </w:r>
          </w:p>
        </w:tc>
        <w:tc>
          <w:tcPr>
            <w:tcW w:type="dxa" w:w="676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Detail</w:t>
            </w:r>
          </w:p>
        </w:tc>
      </w:tr>
      <w:tr>
        <w:tc>
          <w:tcPr>
            <w:tcW w:type="dxa" w:w="26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Power BI Desktop</w:t>
            </w:r>
          </w:p>
        </w:tc>
        <w:tc>
          <w:tcPr>
            <w:tcW w:type="dxa" w:w="67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Free from the Microsoft Store or powerbi.microsoft.com/desktop. Windows only — there is no Mac build.</w:t>
            </w:r>
          </w:p>
        </w:tc>
      </w:tr>
      <w:tr>
        <w:tc>
          <w:tcPr>
            <w:tcW w:type="dxa" w:w="26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The template</w:t>
            </w:r>
          </w:p>
        </w:tc>
        <w:tc>
          <w:tcPr>
            <w:tcW w:type="dxa" w:w="67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dist/UPS_2025_Executive_Dashboard.pbit</w:t>
            </w:r>
          </w:p>
        </w:tc>
      </w:tr>
      <w:tr>
        <w:tc>
          <w:tcPr>
            <w:tcW w:type="dxa" w:w="26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The repository</w:t>
            </w:r>
          </w:p>
        </w:tc>
        <w:tc>
          <w:tcPr>
            <w:tcW w:type="dxa" w:w="67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For the theme file and the DAX/M sources, in case you need a fallback.</w:t>
            </w:r>
          </w:p>
        </w:tc>
      </w:tr>
      <w:tr>
        <w:tc>
          <w:tcPr>
            <w:tcW w:type="dxa" w:w="26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Python 3.9+</w:t>
            </w:r>
          </w:p>
        </w:tc>
        <w:tc>
          <w:tcPr>
            <w:tcW w:type="dxa" w:w="67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Only to generate the data files in Step 1. Any recent version.</w:t>
            </w:r>
          </w:p>
        </w:tc>
      </w:tr>
      <w:tr>
        <w:tc>
          <w:tcPr>
            <w:tcW w:type="dxa" w:w="26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Your data</w:t>
            </w:r>
          </w:p>
        </w:tc>
        <w:tc>
          <w:tcPr>
            <w:tcW w:type="dxa" w:w="67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Either the real UPS extracts, or the synthetic sample that ships with the repo.</w:t>
            </w:r>
          </w:p>
        </w:tc>
      </w:tr>
    </w:tbl>
    <w:p>
      <w:pPr>
        <w:spacing w:after="200"/>
      </w:pPr>
    </w:p>
    <w:p>
      <w:pPr>
        <w:pBdr>
          <w:left w:val="single" w:color="1F5FA9" w:sz="18" w:space="10"/>
        </w:pBdr>
        <w:shd w:fill="F3F5F8" w:val="clear"/>
        <w:spacing w:after="0" w:before="170" w:line="278"/>
        <w:ind w:left="170" w:right="170"/>
      </w:pPr>
      <w:r>
        <w:rPr>
          <w:b/>
          <w:bCs/>
          <w:color w:val="1F5FA9"/>
          <w:sz w:val="20"/>
          <w:szCs w:val="20"/>
        </w:rPr>
        <w:t xml:space="preserve">A note on the data path</w:t>
      </w:r>
    </w:p>
    <w:p>
      <w:pPr>
        <w:pBdr>
          <w:left w:val="single" w:color="1F5FA9" w:sz="18" w:space="10"/>
        </w:pBdr>
        <w:shd w:fill="F3F5F8" w:val="clear"/>
        <w:spacing w:after="210" w:before="50" w:line="278"/>
        <w:ind w:left="170" w:right="170"/>
      </w:pPr>
      <w:r>
        <w:rPr>
          <w:color w:val="1A1A1A"/>
          <w:sz w:val="20"/>
          <w:szCs w:val="20"/>
        </w:rPr>
        <w:t xml:space="preserve">The model reads CSV files from a folder you nominate. Power BI needs an </w:t>
      </w:r>
      <w:r>
        <w:rPr>
          <w:b/>
          <w:bCs/>
          <w:color w:val="1A1A1A"/>
          <w:sz w:val="20"/>
          <w:szCs w:val="20"/>
        </w:rPr>
        <w:t xml:space="preserve">absolute</w:t>
      </w:r>
      <w:r>
        <w:rPr>
          <w:color w:val="1A1A1A"/>
          <w:sz w:val="20"/>
          <w:szCs w:val="20"/>
        </w:rPr>
        <w:t xml:space="preserve"> path — </w:t>
      </w:r>
      <w:r>
        <w:rPr>
          <w:rFonts w:ascii="Consolas" w:cs="Consolas" w:eastAsia="Consolas" w:hAnsi="Consolas"/>
          <w:color w:val="1A3A5A"/>
          <w:sz w:val="18"/>
          <w:szCs w:val="18"/>
        </w:rPr>
        <w:t xml:space="preserve">C:\Users\you\ups-2025-executive-dashboard\data\processed</w:t>
      </w:r>
      <w:r>
        <w:rPr>
          <w:color w:val="1A1A1A"/>
          <w:sz w:val="20"/>
          <w:szCs w:val="20"/>
        </w:rPr>
        <w:t xml:space="preserve">, not a relative one. Have that path ready before Step 3, with no trailing backslash.</w:t>
      </w:r>
    </w:p>
    <w:p>
      <w:pPr>
        <w:pStyle w:val="Heading1"/>
        <w:spacing w:after="170" w:before="380"/>
      </w:pPr>
      <w:r>
        <w:rPr>
          <w:b/>
          <w:bCs/>
          <w:color w:val="1A1A1A"/>
          <w:sz w:val="30"/>
          <w:szCs w:val="30"/>
        </w:rPr>
        <w:t xml:space="preserve">3. Step 1 — Produce the data files</w:t>
      </w:r>
    </w:p>
    <w:p>
      <w:pPr>
        <w:spacing w:after="130" w:before="0" w:line="278"/>
      </w:pPr>
      <w:r>
        <w:rPr>
          <w:color w:val="1A1A1A"/>
          <w:sz w:val="21"/>
          <w:szCs w:val="21"/>
        </w:rPr>
        <w:t xml:space="preserve">The model loads the star-schema CSVs written by the ETL, not the raw Excel extracts. Generate them first; the template will fail on load if the folder is empty.</w:t>
      </w:r>
    </w:p>
    <w:p>
      <w:pPr>
        <w:pStyle w:val="Heading3"/>
        <w:spacing w:after="110" w:before="220"/>
      </w:pPr>
      <w:r>
        <w:rPr>
          <w:b/>
          <w:bCs/>
          <w:color w:val="5F5E5A"/>
          <w:sz w:val="21"/>
          <w:szCs w:val="21"/>
        </w:rPr>
        <w:t xml:space="preserve">Option A — your real UPS extracts</w:t>
      </w:r>
    </w:p>
    <w:p>
      <w:pPr>
        <w:spacing w:after="130" w:before="0" w:line="278"/>
      </w:pPr>
      <w:r>
        <w:rPr>
          <w:color w:val="1A1A1A"/>
          <w:sz w:val="21"/>
          <w:szCs w:val="21"/>
        </w:rPr>
        <w:t xml:space="preserve">Place the monthly extracts in </w:t>
      </w:r>
      <w:r>
        <w:rPr>
          <w:rFonts w:ascii="Consolas" w:cs="Consolas" w:eastAsia="Consolas" w:hAnsi="Consolas"/>
          <w:color w:val="1A3A5A"/>
          <w:sz w:val="19"/>
          <w:szCs w:val="19"/>
        </w:rPr>
        <w:t xml:space="preserve">data/raw/</w:t>
      </w:r>
      <w:r>
        <w:rPr>
          <w:color w:val="1A1A1A"/>
          <w:sz w:val="21"/>
          <w:szCs w:val="21"/>
        </w:rPr>
        <w:t xml:space="preserve">, then run:</w:t>
      </w:r>
    </w:p>
    <w:p>
      <w:pPr>
        <w:shd w:fill="F2F2EF" w:val="clear"/>
        <w:spacing w:after="0" w:before="110" w:line="262"/>
        <w:ind w:left="190" w:right="190"/>
      </w:pPr>
      <w:r>
        <w:rPr>
          <w:rFonts w:ascii="Consolas" w:cs="Consolas" w:eastAsia="Consolas" w:hAnsi="Consolas"/>
          <w:color w:val="26323A"/>
          <w:sz w:val="18"/>
          <w:szCs w:val="18"/>
        </w:rPr>
        <w:t xml:space="preserve">pip install -r etl/requirements.txt</w:t>
      </w:r>
    </w:p>
    <w:p>
      <w:pPr>
        <w:shd w:fill="F2F2EF" w:val="clear"/>
        <w:spacing w:after="170" w:before="0" w:line="262"/>
        <w:ind w:left="190" w:right="190"/>
      </w:pPr>
      <w:r>
        <w:rPr>
          <w:rFonts w:ascii="Consolas" w:cs="Consolas" w:eastAsia="Consolas" w:hAnsi="Consolas"/>
          <w:color w:val="26323A"/>
          <w:sz w:val="18"/>
          <w:szCs w:val="18"/>
        </w:rPr>
        <w:t xml:space="preserve">python etl/ups_etl.py --raw data/raw --out data/processed --report</w:t>
      </w:r>
    </w:p>
    <w:p>
      <w:pPr>
        <w:spacing w:after="130" w:before="0" w:line="278"/>
      </w:pPr>
      <w:r>
        <w:rPr>
          <w:color w:val="1A1A1A"/>
          <w:sz w:val="21"/>
          <w:szCs w:val="21"/>
        </w:rPr>
        <w:t xml:space="preserve">Note the absolute path of </w:t>
      </w:r>
      <w:r>
        <w:rPr>
          <w:rFonts w:ascii="Consolas" w:cs="Consolas" w:eastAsia="Consolas" w:hAnsi="Consolas"/>
          <w:color w:val="1A3A5A"/>
          <w:sz w:val="19"/>
          <w:szCs w:val="19"/>
        </w:rPr>
        <w:t xml:space="preserve">data/processed</w:t>
      </w:r>
      <w:r>
        <w:rPr>
          <w:color w:val="1A1A1A"/>
          <w:sz w:val="21"/>
          <w:szCs w:val="21"/>
        </w:rPr>
        <w:t xml:space="preserve">. Check the reconciliation summary it prints — if January's volume is exactly double what the January extract shows, the year-to-date deduplication did not run.</w:t>
      </w:r>
    </w:p>
    <w:p>
      <w:pPr>
        <w:pStyle w:val="Heading3"/>
        <w:spacing w:after="110" w:before="220"/>
      </w:pPr>
      <w:r>
        <w:rPr>
          <w:b/>
          <w:bCs/>
          <w:color w:val="5F5E5A"/>
          <w:sz w:val="21"/>
          <w:szCs w:val="21"/>
        </w:rPr>
        <w:t xml:space="preserve">Option B — the synthetic sample</w:t>
      </w:r>
    </w:p>
    <w:p>
      <w:pPr>
        <w:spacing w:after="130" w:before="0" w:line="278"/>
      </w:pPr>
      <w:r>
        <w:rPr>
          <w:color w:val="1A1A1A"/>
          <w:sz w:val="21"/>
          <w:szCs w:val="21"/>
        </w:rPr>
        <w:t xml:space="preserve">Use this to test the template, or to demonstrate the dashboard without exposing client data.</w:t>
      </w:r>
    </w:p>
    <w:p>
      <w:pPr>
        <w:shd w:fill="F2F2EF" w:val="clear"/>
        <w:spacing w:after="170" w:before="110" w:line="262"/>
        <w:ind w:left="190" w:right="190"/>
      </w:pPr>
      <w:r>
        <w:rPr>
          <w:rFonts w:ascii="Consolas" w:cs="Consolas" w:eastAsia="Consolas" w:hAnsi="Consolas"/>
          <w:color w:val="26323A"/>
          <w:sz w:val="18"/>
          <w:szCs w:val="18"/>
        </w:rPr>
        <w:t xml:space="preserve">python etl/make_sample_data.py --out data/sample</w:t>
      </w:r>
    </w:p>
    <w:p>
      <w:pPr>
        <w:pStyle w:val="Heading3"/>
        <w:spacing w:after="110" w:before="220"/>
      </w:pPr>
      <w:r>
        <w:rPr>
          <w:b/>
          <w:bCs/>
          <w:color w:val="5F5E5A"/>
          <w:sz w:val="21"/>
          <w:szCs w:val="21"/>
        </w:rPr>
        <w:t xml:space="preserve">What you should have</w:t>
      </w:r>
    </w:p>
    <w:p>
      <w:pPr>
        <w:spacing w:after="130" w:before="0" w:line="278"/>
      </w:pPr>
      <w:r>
        <w:rPr>
          <w:color w:val="1A1A1A"/>
          <w:sz w:val="21"/>
          <w:szCs w:val="21"/>
        </w:rPr>
        <w:t xml:space="preserve">Seven CSV files plus a manifest in the output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Fact tables</w:t>
            </w:r>
          </w:p>
        </w:tc>
        <w:tc>
          <w:tcPr>
            <w:tcW w:type="dxa" w:w="468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Dimensions and manifest</w:t>
            </w:r>
          </w:p>
        </w:tc>
      </w:tr>
      <w:tr>
        <w:tc>
          <w:tcPr>
            <w:tcW w:type="dxa" w:w="46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Fact_VolumeSpend.csv</w:t>
            </w:r>
          </w:p>
        </w:tc>
        <w:tc>
          <w:tcPr>
            <w:tcW w:type="dxa" w:w="46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Dim_Date.csv</w:t>
            </w:r>
          </w:p>
        </w:tc>
      </w:tr>
      <w:tr>
        <w:tc>
          <w:tcPr>
            <w:tcW w:type="dxa" w:w="46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Fact_TimeInTransit.csv</w:t>
            </w:r>
          </w:p>
        </w:tc>
        <w:tc>
          <w:tcPr>
            <w:tcW w:type="dxa" w:w="46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Dim_Account.csv</w:t>
            </w:r>
          </w:p>
        </w:tc>
      </w:tr>
      <w:tr>
        <w:tc>
          <w:tcPr>
            <w:tcW w:type="dxa" w:w="46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Fact_Claims.csv</w:t>
            </w:r>
          </w:p>
        </w:tc>
        <w:tc>
          <w:tcPr>
            <w:tcW w:type="dxa" w:w="46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Dim_ServiceMapping.csv</w:t>
            </w:r>
          </w:p>
        </w:tc>
      </w:tr>
      <w:tr>
        <w:tc>
          <w:tcPr>
            <w:tcW w:type="dxa" w:w="46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Fact_Accessorial.csv</w:t>
            </w:r>
          </w:p>
        </w:tc>
        <w:tc>
          <w:tcPr>
            <w:tcW w:type="dxa" w:w="46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manifest.json</w:t>
            </w:r>
          </w:p>
        </w:tc>
      </w:tr>
    </w:tbl>
    <w:p>
      <w:pPr>
        <w:spacing w:after="200"/>
      </w:pPr>
    </w:p>
    <w:p>
      <w:pPr>
        <w:spacing w:after="130" w:before="0" w:line="278"/>
      </w:pPr>
      <w:r>
        <w:rPr>
          <w:color w:val="5F5E5A"/>
          <w:sz w:val="20"/>
          <w:szCs w:val="20"/>
        </w:rPr>
        <w:t xml:space="preserve">If any are missing, the template fails with a file-not-found naming that exact file, which makes the cause obvious.</w:t>
      </w:r>
    </w:p>
    <w:p>
      <w:pPr>
        <w:pStyle w:val="Heading1"/>
        <w:spacing w:after="170" w:before="380"/>
      </w:pPr>
      <w:r>
        <w:rPr>
          <w:b/>
          <w:bCs/>
          <w:color w:val="1A1A1A"/>
          <w:sz w:val="30"/>
          <w:szCs w:val="30"/>
        </w:rPr>
        <w:t xml:space="preserve">4. Step 2 — Open the template</w:t>
      </w:r>
    </w:p>
    <w:p>
      <w:pPr>
        <w:spacing w:after="130" w:before="0" w:line="278"/>
      </w:pPr>
      <w:r>
        <w:rPr>
          <w:color w:val="1A1A1A"/>
          <w:sz w:val="21"/>
          <w:szCs w:val="21"/>
        </w:rPr>
        <w:t xml:space="preserve">Double-click </w:t>
      </w:r>
      <w:r>
        <w:rPr>
          <w:rFonts w:ascii="Consolas" w:cs="Consolas" w:eastAsia="Consolas" w:hAnsi="Consolas"/>
          <w:color w:val="1A3A5A"/>
          <w:sz w:val="19"/>
          <w:szCs w:val="19"/>
        </w:rPr>
        <w:t xml:space="preserve">UPS_2025_Executive_Dashboard.pbit</w:t>
      </w:r>
      <w:r>
        <w:rPr>
          <w:color w:val="1A1A1A"/>
          <w:sz w:val="21"/>
          <w:szCs w:val="21"/>
        </w:rPr>
        <w:t xml:space="preserve">, or from Desktop use File → Import → Power BI template.</w:t>
      </w:r>
    </w:p>
    <w:p>
      <w:pPr>
        <w:spacing w:after="130" w:before="0" w:line="278"/>
      </w:pPr>
      <w:r>
        <w:rPr>
          <w:color w:val="1A1A1A"/>
          <w:sz w:val="21"/>
          <w:szCs w:val="21"/>
        </w:rPr>
        <w:t xml:space="preserve">Power BI Desktop opens a parameter dialog before it loads anything. This is normal and is the defining behaviour of a template — it is asking where your data lives.</w:t>
      </w:r>
    </w:p>
    <w:p>
      <w:pPr>
        <w:pStyle w:val="Heading1"/>
        <w:spacing w:after="170" w:before="380"/>
      </w:pPr>
      <w:r>
        <w:rPr>
          <w:b/>
          <w:bCs/>
          <w:color w:val="1A1A1A"/>
          <w:sz w:val="30"/>
          <w:szCs w:val="30"/>
        </w:rPr>
        <w:t xml:space="preserve">5. Step 3 — Enter the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Parameter</w:t>
            </w:r>
          </w:p>
        </w:tc>
        <w:tc>
          <w:tcPr>
            <w:tcW w:type="dxa" w:w="696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What to enter</w:t>
            </w:r>
          </w:p>
        </w:tc>
      </w:tr>
      <w:tr>
        <w:tc>
          <w:tcPr>
            <w:tcW w:type="dxa" w:w="24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p_DataFolder</w:t>
            </w:r>
          </w:p>
        </w:tc>
        <w:tc>
          <w:tcPr>
            <w:tcW w:type="dxa" w:w="69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70" w:line="262"/>
            </w:pPr>
            <w:r>
              <w:rPr>
                <w:color w:val="1A1A1A"/>
                <w:sz w:val="19"/>
                <w:szCs w:val="19"/>
              </w:rPr>
              <w:t xml:space="preserve">The absolute path to the folder from Step 1. No trailing backslash.</w:t>
            </w:r>
          </w:p>
          <w:p>
            <w:pPr>
              <w:spacing w:after="0" w:line="262"/>
            </w:pPr>
            <w:r>
              <w:rPr>
                <w:rFonts w:ascii="Consolas" w:cs="Consolas" w:eastAsia="Consolas" w:hAnsi="Consolas"/>
                <w:color w:val="1A3A5A"/>
                <w:sz w:val="17"/>
                <w:szCs w:val="17"/>
              </w:rPr>
              <w:t xml:space="preserve">C:\Users\you\ups-2025-executive-dashboard\data\processed</w:t>
            </w:r>
          </w:p>
        </w:tc>
      </w:tr>
      <w:tr>
        <w:tc>
          <w:tcPr>
            <w:tcW w:type="dxa" w:w="24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p_ReportingYear</w:t>
            </w:r>
          </w:p>
        </w:tc>
        <w:tc>
          <w:tcPr>
            <w:tcW w:type="dxa" w:w="69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2025</w:t>
            </w:r>
          </w:p>
        </w:tc>
      </w:tr>
    </w:tbl>
    <w:p>
      <w:pPr>
        <w:spacing w:after="200"/>
      </w:pPr>
    </w:p>
    <w:p>
      <w:pPr>
        <w:spacing w:after="130" w:before="0" w:line="278"/>
      </w:pPr>
      <w:r>
        <w:rPr>
          <w:color w:val="1A1A1A"/>
          <w:sz w:val="21"/>
          <w:szCs w:val="21"/>
        </w:rPr>
        <w:t xml:space="preserve">Click Load.</w:t>
      </w:r>
    </w:p>
    <w:p>
      <w:pPr>
        <w:pBdr>
          <w:left w:val="single" w:color="8A5A00" w:sz="18" w:space="10"/>
        </w:pBdr>
        <w:shd w:fill="F3F5F8" w:val="clear"/>
        <w:spacing w:after="0" w:before="170" w:line="278"/>
        <w:ind w:left="170" w:right="170"/>
      </w:pPr>
      <w:r>
        <w:rPr>
          <w:b/>
          <w:bCs/>
          <w:color w:val="8A5A00"/>
          <w:sz w:val="20"/>
          <w:szCs w:val="20"/>
        </w:rPr>
        <w:t xml:space="preserve">The most common mistake</w:t>
      </w:r>
    </w:p>
    <w:p>
      <w:pPr>
        <w:pBdr>
          <w:left w:val="single" w:color="8A5A00" w:sz="18" w:space="10"/>
        </w:pBdr>
        <w:shd w:fill="F3F5F8" w:val="clear"/>
        <w:spacing w:after="210" w:before="50" w:line="278"/>
        <w:ind w:left="170" w:right="170"/>
      </w:pPr>
      <w:r>
        <w:rPr>
          <w:color w:val="1A1A1A"/>
          <w:sz w:val="20"/>
          <w:szCs w:val="20"/>
        </w:rPr>
        <w:t xml:space="preserve">A trailing backslash, or a path to the repository root rather than to the folder containing the CSVs. Both produce a file-not-found error naming a path with a doubled separator or a missing folder level — read the path in the error message and it tells you which.</w:t>
      </w:r>
    </w:p>
    <w:p>
      <w:pPr>
        <w:pStyle w:val="Heading1"/>
        <w:spacing w:after="170" w:before="380"/>
      </w:pPr>
      <w:r>
        <w:rPr>
          <w:b/>
          <w:bCs/>
          <w:color w:val="1A1A1A"/>
          <w:sz w:val="30"/>
          <w:szCs w:val="30"/>
        </w:rPr>
        <w:t xml:space="preserve">6. Step 4 — Let the model load</w:t>
      </w:r>
    </w:p>
    <w:p>
      <w:pPr>
        <w:spacing w:after="130" w:before="0" w:line="278"/>
      </w:pPr>
      <w:r>
        <w:rPr>
          <w:color w:val="1A1A1A"/>
          <w:sz w:val="21"/>
          <w:szCs w:val="21"/>
        </w:rPr>
        <w:t xml:space="preserve">Desktop runs eight queries and builds the model. On the sample data this takes a few seconds; on a full year of real extracts, under a minute.</w:t>
      </w:r>
    </w:p>
    <w:p>
      <w:pPr>
        <w:spacing w:after="130" w:before="0" w:line="278"/>
      </w:pPr>
      <w:r>
        <w:rPr>
          <w:color w:val="1A1A1A"/>
          <w:sz w:val="21"/>
          <w:szCs w:val="21"/>
        </w:rPr>
        <w:t xml:space="preserve">When it finishes you should see, in the Data pane on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Item</w:t>
            </w:r>
          </w:p>
        </w:tc>
        <w:tc>
          <w:tcPr>
            <w:tcW w:type="dxa" w:w="636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Expected</w:t>
            </w:r>
          </w:p>
        </w:tc>
      </w:tr>
      <w:tr>
        <w:tc>
          <w:tcPr>
            <w:tcW w:type="dxa" w:w="30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Tables</w:t>
            </w:r>
          </w:p>
        </w:tc>
        <w:tc>
          <w:tcPr>
            <w:tcW w:type="dxa" w:w="63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8 data tables plus Volume Threshold, Share Threshold, and _Measures</w:t>
            </w:r>
          </w:p>
        </w:tc>
      </w:tr>
      <w:tr>
        <w:tc>
          <w:tcPr>
            <w:tcW w:type="dxa" w:w="30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_Measures</w:t>
            </w:r>
          </w:p>
        </w:tc>
        <w:tc>
          <w:tcPr>
            <w:tcW w:type="dxa" w:w="63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112 measures in five numbered display folders</w:t>
            </w:r>
          </w:p>
        </w:tc>
      </w:tr>
      <w:tr>
        <w:tc>
          <w:tcPr>
            <w:tcW w:type="dxa" w:w="30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Dim_ServiceMapping</w:t>
            </w:r>
          </w:p>
        </w:tc>
        <w:tc>
          <w:tcPr>
            <w:tcW w:type="dxa" w:w="63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Present but hidden — it is the two-vocabulary mapping table, needed by the Data Quality page and deliberately kept out of the field list</w:t>
            </w:r>
          </w:p>
        </w:tc>
      </w:tr>
      <w:tr>
        <w:tc>
          <w:tcPr>
            <w:tcW w:type="dxa" w:w="30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Report pages</w:t>
            </w:r>
          </w:p>
        </w:tc>
        <w:tc>
          <w:tcPr>
            <w:tcW w:type="dxa" w:w="63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8 tabs along the bottom, from Executive Overview to Data Quality</w:t>
            </w:r>
          </w:p>
        </w:tc>
      </w:tr>
    </w:tbl>
    <w:p>
      <w:pPr>
        <w:spacing w:after="200"/>
      </w:pPr>
    </w:p>
    <w:p>
      <w:pPr>
        <w:pStyle w:val="Heading1"/>
        <w:spacing w:after="170" w:before="380"/>
      </w:pPr>
      <w:r>
        <w:rPr>
          <w:b/>
          <w:bCs/>
          <w:color w:val="1A1A1A"/>
          <w:sz w:val="30"/>
          <w:szCs w:val="30"/>
        </w:rPr>
        <w:t xml:space="preserve">7. Step 5 — Two manual settings</w:t>
      </w:r>
    </w:p>
    <w:p>
      <w:pPr>
        <w:spacing w:after="130" w:before="0" w:line="278"/>
      </w:pPr>
      <w:r>
        <w:rPr>
          <w:color w:val="1A1A1A"/>
          <w:sz w:val="21"/>
          <w:szCs w:val="21"/>
        </w:rPr>
        <w:t xml:space="preserve">Two things cannot be set reliably from the template and must be applied by hand. Both take under a minute and both matter.</w:t>
      </w:r>
    </w:p>
    <w:p>
      <w:pPr>
        <w:pStyle w:val="Heading2"/>
        <w:spacing w:after="130" w:before="300"/>
      </w:pPr>
      <w:r>
        <w:rPr>
          <w:b/>
          <w:bCs/>
          <w:color w:val="1A1A1A"/>
          <w:sz w:val="24"/>
          <w:szCs w:val="24"/>
        </w:rPr>
        <w:t xml:space="preserve">5a. Apply the report theme</w:t>
      </w:r>
    </w:p>
    <w:p>
      <w:pPr>
        <w:spacing w:after="130" w:before="0" w:line="278"/>
      </w:pPr>
      <w:r>
        <w:rPr>
          <w:color w:val="1A1A1A"/>
          <w:sz w:val="21"/>
          <w:szCs w:val="21"/>
        </w:rPr>
        <w:t xml:space="preserve">View → Themes → Browse for themes → select:</w:t>
      </w:r>
    </w:p>
    <w:p>
      <w:pPr>
        <w:shd w:fill="F2F2EF" w:val="clear"/>
        <w:spacing w:after="170" w:before="110" w:line="262"/>
        <w:ind w:left="190" w:right="190"/>
      </w:pPr>
      <w:r>
        <w:rPr>
          <w:rFonts w:ascii="Consolas" w:cs="Consolas" w:eastAsia="Consolas" w:hAnsi="Consolas"/>
          <w:color w:val="26323A"/>
          <w:sz w:val="18"/>
          <w:szCs w:val="18"/>
        </w:rPr>
        <w:t xml:space="preserve">powerbi\theme\UPS_Executive_Theme.json</w:t>
      </w:r>
    </w:p>
    <w:p>
      <w:pPr>
        <w:spacing w:after="130" w:before="0" w:line="278"/>
      </w:pPr>
      <w:r>
        <w:rPr>
          <w:color w:val="1A1A1A"/>
          <w:sz w:val="21"/>
          <w:szCs w:val="21"/>
        </w:rPr>
        <w:t xml:space="preserve">The theme carries a colour palette validated for colour-vision deficiency, hairline gridlines, data labels off by default, and no dual-axis configuration.</w:t>
      </w:r>
    </w:p>
    <w:p>
      <w:pPr>
        <w:spacing w:after="130" w:before="0" w:line="278"/>
      </w:pPr>
      <w:r>
        <w:rPr>
          <w:color w:val="5F5E5A"/>
          <w:sz w:val="20"/>
          <w:szCs w:val="20"/>
        </w:rPr>
        <w:t xml:space="preserve">It is applied here rather than embedded in the template on purpose: a malformed custom-theme resource is one of the few things that can stop a .pbit opening at all, and that is not worth risking the whole file for one click.</w:t>
      </w:r>
    </w:p>
    <w:p>
      <w:pPr>
        <w:pStyle w:val="Heading2"/>
        <w:spacing w:after="130" w:before="300"/>
      </w:pPr>
      <w:r>
        <w:rPr>
          <w:b/>
          <w:bCs/>
          <w:color w:val="1A1A1A"/>
          <w:sz w:val="24"/>
          <w:szCs w:val="24"/>
        </w:rPr>
        <w:t xml:space="preserve">5b. Set the month sort order</w:t>
      </w:r>
    </w:p>
    <w:p>
      <w:pPr>
        <w:spacing w:after="130" w:before="0" w:line="278"/>
      </w:pPr>
      <w:r>
        <w:rPr>
          <w:color w:val="1A1A1A"/>
          <w:sz w:val="21"/>
          <w:szCs w:val="21"/>
        </w:rPr>
        <w:t xml:space="preserve">In the Data pane, expand Dim_Date and do this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
            </w:r>
          </w:p>
        </w:tc>
        <w:tc>
          <w:tcPr>
            <w:tcW w:type="dxa" w:w="846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Action</w:t>
            </w:r>
          </w:p>
        </w:tc>
      </w:tr>
      <w:tr>
        <w:tc>
          <w:tcPr>
            <w:tcW w:type="dxa" w:w="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1</w:t>
            </w:r>
          </w:p>
        </w:tc>
        <w:tc>
          <w:tcPr>
            <w:tcW w:type="dxa" w:w="8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Select </w:t>
            </w:r>
            <w:r>
              <w:rPr>
                <w:rFonts w:ascii="Consolas" w:cs="Consolas" w:eastAsia="Consolas" w:hAnsi="Consolas"/>
                <w:color w:val="1A3A5A"/>
                <w:sz w:val="17"/>
                <w:szCs w:val="17"/>
              </w:rPr>
              <w:t xml:space="preserve">MonthName</w:t>
            </w:r>
          </w:p>
        </w:tc>
      </w:tr>
      <w:tr>
        <w:tc>
          <w:tcPr>
            <w:tcW w:type="dxa" w:w="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2</w:t>
            </w:r>
          </w:p>
        </w:tc>
        <w:tc>
          <w:tcPr>
            <w:tcW w:type="dxa" w:w="8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Column tools ribbon → Sort by column</w:t>
            </w:r>
          </w:p>
        </w:tc>
      </w:tr>
      <w:tr>
        <w:tc>
          <w:tcPr>
            <w:tcW w:type="dxa" w:w="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3</w:t>
            </w:r>
          </w:p>
        </w:tc>
        <w:tc>
          <w:tcPr>
            <w:tcW w:type="dxa" w:w="8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Choose </w:t>
            </w:r>
            <w:r>
              <w:rPr>
                <w:rFonts w:ascii="Consolas" w:cs="Consolas" w:eastAsia="Consolas" w:hAnsi="Consolas"/>
                <w:color w:val="1A3A5A"/>
                <w:sz w:val="17"/>
                <w:szCs w:val="17"/>
              </w:rPr>
              <w:t xml:space="preserve">SortOrder</w:t>
            </w:r>
          </w:p>
        </w:tc>
      </w:tr>
      <w:tr>
        <w:tc>
          <w:tcPr>
            <w:tcW w:type="dxa" w:w="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4</w:t>
            </w:r>
          </w:p>
        </w:tc>
        <w:tc>
          <w:tcPr>
            <w:tcW w:type="dxa" w:w="8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Repeat all three for </w:t>
            </w:r>
            <w:r>
              <w:rPr>
                <w:rFonts w:ascii="Consolas" w:cs="Consolas" w:eastAsia="Consolas" w:hAnsi="Consolas"/>
                <w:color w:val="1A3A5A"/>
                <w:sz w:val="17"/>
                <w:szCs w:val="17"/>
              </w:rPr>
              <w:t xml:space="preserve">MonthYearLabel</w:t>
            </w:r>
          </w:p>
        </w:tc>
      </w:tr>
    </w:tbl>
    <w:p>
      <w:pPr>
        <w:spacing w:after="200"/>
      </w:pPr>
    </w:p>
    <w:p>
      <w:pPr>
        <w:pBdr>
          <w:left w:val="single" w:color="A32020" w:sz="18" w:space="10"/>
        </w:pBdr>
        <w:shd w:fill="F3F5F8" w:val="clear"/>
        <w:spacing w:after="0" w:before="170" w:line="278"/>
        <w:ind w:left="170" w:right="170"/>
      </w:pPr>
      <w:r>
        <w:rPr>
          <w:b/>
          <w:bCs/>
          <w:color w:val="A32020"/>
          <w:sz w:val="20"/>
          <w:szCs w:val="20"/>
        </w:rPr>
        <w:t xml:space="preserve">Why this is not optional</w:t>
      </w:r>
    </w:p>
    <w:p>
      <w:pPr>
        <w:pBdr>
          <w:left w:val="single" w:color="A32020" w:sz="18" w:space="10"/>
        </w:pBdr>
        <w:shd w:fill="F3F5F8" w:val="clear"/>
        <w:spacing w:after="210" w:before="50" w:line="278"/>
        <w:ind w:left="170" w:right="170"/>
      </w:pPr>
      <w:r>
        <w:rPr>
          <w:color w:val="1A1A1A"/>
          <w:sz w:val="20"/>
          <w:szCs w:val="20"/>
        </w:rPr>
        <w:t xml:space="preserve">Without it, every month axis in the report sorts alphabetically: Apr, Aug, Dec, Feb, Jan… Trend lines become meaningless and it is easy not to notice, because the chart still looks like a chart. Check the volume-by-month column chart on page 3 reads Jan through Dec before you go further.</w:t>
      </w:r>
    </w:p>
    <w:p>
      <w:pPr>
        <w:pStyle w:val="Heading1"/>
        <w:spacing w:after="170" w:before="380"/>
      </w:pPr>
      <w:r>
        <w:rPr>
          <w:b/>
          <w:bCs/>
          <w:color w:val="1A1A1A"/>
          <w:sz w:val="30"/>
          <w:szCs w:val="30"/>
        </w:rPr>
        <w:t xml:space="preserve">8. Step 6 — Verify before you save</w:t>
      </w:r>
    </w:p>
    <w:p>
      <w:pPr>
        <w:spacing w:after="130" w:before="0" w:line="278"/>
      </w:pPr>
      <w:r>
        <w:rPr>
          <w:color w:val="1A1A1A"/>
          <w:sz w:val="21"/>
          <w:szCs w:val="21"/>
        </w:rPr>
        <w:t xml:space="preserve">Six checks. Each catches a specific, known failure mode, and each takes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480"/>
        <w:gridCol w:w="5400"/>
      </w:tblGrid>
      <w:tr>
        <w:trPr>
          <w:tblHeader/>
        </w:trPr>
        <w:tc>
          <w:tcPr>
            <w:tcW w:type="dxa" w:w="48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w:t>
            </w:r>
          </w:p>
        </w:tc>
        <w:tc>
          <w:tcPr>
            <w:tcW w:type="dxa" w:w="348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Check</w:t>
            </w:r>
          </w:p>
        </w:tc>
        <w:tc>
          <w:tcPr>
            <w:tcW w:type="dxa" w:w="540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What it catches</w:t>
            </w:r>
          </w:p>
        </w:tc>
      </w:tr>
      <w:tr>
        <w:tc>
          <w:tcPr>
            <w:tcW w:type="dxa" w:w="4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1</w:t>
            </w:r>
          </w:p>
        </w:tc>
        <w:tc>
          <w:tcPr>
            <w:tcW w:type="dxa" w:w="34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Page 3 volume chart reads Jan → Dec</w:t>
            </w:r>
          </w:p>
        </w:tc>
        <w:tc>
          <w:tcPr>
            <w:tcW w:type="dxa" w:w="54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The sort-by columns from Step 5b were not applied.</w:t>
            </w:r>
          </w:p>
        </w:tc>
      </w:tr>
      <w:tr>
        <w:tc>
          <w:tcPr>
            <w:tcW w:type="dxa" w:w="4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2</w:t>
            </w:r>
          </w:p>
        </w:tc>
        <w:tc>
          <w:tcPr>
            <w:tcW w:type="dxa" w:w="34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On-time delivery equals the </w:t>
            </w:r>
            <w:r>
              <w:rPr>
                <w:i/>
                <w:iCs/>
                <w:color w:val="1A1A1A"/>
                <w:sz w:val="19"/>
                <w:szCs w:val="19"/>
              </w:rPr>
              <w:t xml:space="preserve">Grand Total</w:t>
            </w:r>
            <w:r>
              <w:rPr>
                <w:color w:val="1A1A1A"/>
                <w:sz w:val="19"/>
                <w:szCs w:val="19"/>
              </w:rPr>
              <w:t xml:space="preserve"> row of the source Time-in-Transit extract (96.46% for March 2025)</w:t>
            </w:r>
          </w:p>
        </w:tc>
        <w:tc>
          <w:tcPr>
            <w:tcW w:type="dxa" w:w="54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A reading around 98.2% means a percentage is being averaged rather than weighted — a 4-package service counted equally with a 48,000-package one.</w:t>
            </w:r>
          </w:p>
        </w:tc>
      </w:tr>
      <w:tr>
        <w:tc>
          <w:tcPr>
            <w:tcW w:type="dxa" w:w="4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3</w:t>
            </w:r>
          </w:p>
        </w:tc>
        <w:tc>
          <w:tcPr>
            <w:tcW w:type="dxa" w:w="34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Page 8 shows Reconciliation Status = </w:t>
            </w:r>
            <w:r>
              <w:rPr>
                <w:b/>
                <w:bCs/>
                <w:color w:val="1A1A1A"/>
                <w:sz w:val="19"/>
                <w:szCs w:val="19"/>
              </w:rPr>
              <w:t xml:space="preserve">Reconciled</w:t>
            </w:r>
          </w:p>
        </w:tc>
        <w:tc>
          <w:tcPr>
            <w:tcW w:type="dxa" w:w="54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The accessorial detail must sum to net spend to the cent. A variance means one source file is stale or partly loaded.</w:t>
            </w:r>
          </w:p>
        </w:tc>
      </w:tr>
      <w:tr>
        <w:tc>
          <w:tcPr>
            <w:tcW w:type="dxa" w:w="4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4</w:t>
            </w:r>
          </w:p>
        </w:tc>
        <w:tc>
          <w:tcPr>
            <w:tcW w:type="dxa" w:w="34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January volume matches the January extract, not double it</w:t>
            </w:r>
          </w:p>
        </w:tc>
        <w:tc>
          <w:tcPr>
            <w:tcW w:type="dxa" w:w="54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The year-to-date deduplication. February's extract contains January as well; a naive load double-counts it with no error.</w:t>
            </w:r>
          </w:p>
        </w:tc>
      </w:tr>
      <w:tr>
        <w:tc>
          <w:tcPr>
            <w:tcW w:type="dxa" w:w="4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5</w:t>
            </w:r>
          </w:p>
        </w:tc>
        <w:tc>
          <w:tcPr>
            <w:tcW w:type="dxa" w:w="34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Service Volume Mix % sums to 100% across services</w:t>
            </w:r>
          </w:p>
        </w:tc>
        <w:tc>
          <w:tcPr>
            <w:tcW w:type="dxa" w:w="54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If it shows 100% on every row, a measure is filtering a table with no relationship to the facts and the result is silently wrong.</w:t>
            </w:r>
          </w:p>
        </w:tc>
      </w:tr>
      <w:tr>
        <w:tc>
          <w:tcPr>
            <w:tcW w:type="dxa" w:w="4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6</w:t>
            </w:r>
          </w:p>
        </w:tc>
        <w:tc>
          <w:tcPr>
            <w:tcW w:type="dxa" w:w="348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The banner card on every page describes your actual coverage</w:t>
            </w:r>
          </w:p>
        </w:tc>
        <w:tc>
          <w:tcPr>
            <w:tcW w:type="dxa" w:w="54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With one month of transit data it must read PROVISIONAL, not ANNUAL.</w:t>
            </w:r>
          </w:p>
        </w:tc>
      </w:tr>
    </w:tbl>
    <w:p>
      <w:pPr>
        <w:spacing w:after="200"/>
      </w:pPr>
    </w:p>
    <w:p>
      <w:pPr>
        <w:pBdr>
          <w:left w:val="single" w:color="A32020" w:sz="18" w:space="10"/>
        </w:pBdr>
        <w:shd w:fill="F3F5F8" w:val="clear"/>
        <w:spacing w:after="0" w:before="170" w:line="278"/>
        <w:ind w:left="170" w:right="170"/>
      </w:pPr>
      <w:r>
        <w:rPr>
          <w:b/>
          <w:bCs/>
          <w:color w:val="A32020"/>
          <w:sz w:val="20"/>
          <w:szCs w:val="20"/>
        </w:rPr>
        <w:t xml:space="preserve">If check 2 or 4 fails</w:t>
      </w:r>
    </w:p>
    <w:p>
      <w:pPr>
        <w:pBdr>
          <w:left w:val="single" w:color="A32020" w:sz="18" w:space="10"/>
        </w:pBdr>
        <w:shd w:fill="F3F5F8" w:val="clear"/>
        <w:spacing w:after="210" w:before="50" w:line="278"/>
        <w:ind w:left="170" w:right="170"/>
      </w:pPr>
      <w:r>
        <w:rPr>
          <w:color w:val="1A1A1A"/>
          <w:sz w:val="20"/>
          <w:szCs w:val="20"/>
        </w:rPr>
        <w:t xml:space="preserve">Stop and fix it before saving. Both failure modes produce numbers that are internally consistent and completely wrong — nothing downstream will look odd, and the error will survive review. </w:t>
      </w:r>
      <w:r>
        <w:rPr>
          <w:b/>
          <w:bCs/>
          <w:color w:val="1A1A1A"/>
          <w:sz w:val="20"/>
          <w:szCs w:val="20"/>
        </w:rPr>
        <w:t xml:space="preserve">Getting exactly double is the signature of the year-to-date overlap.</w:t>
      </w:r>
    </w:p>
    <w:p>
      <w:pPr>
        <w:pStyle w:val="Heading1"/>
        <w:spacing w:after="170" w:before="380"/>
      </w:pPr>
      <w:r>
        <w:rPr>
          <w:b/>
          <w:bCs/>
          <w:color w:val="1A1A1A"/>
          <w:sz w:val="30"/>
          <w:szCs w:val="30"/>
        </w:rPr>
        <w:t xml:space="preserve">9. Step 7 — Save as .pbix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
            </w:r>
          </w:p>
        </w:tc>
        <w:tc>
          <w:tcPr>
            <w:tcW w:type="dxa" w:w="846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Action</w:t>
            </w:r>
          </w:p>
        </w:tc>
      </w:tr>
      <w:tr>
        <w:tc>
          <w:tcPr>
            <w:tcW w:type="dxa" w:w="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1</w:t>
            </w:r>
          </w:p>
        </w:tc>
        <w:tc>
          <w:tcPr>
            <w:tcW w:type="dxa" w:w="8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File → Save as</w:t>
            </w:r>
          </w:p>
        </w:tc>
      </w:tr>
      <w:tr>
        <w:tc>
          <w:tcPr>
            <w:tcW w:type="dxa" w:w="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2</w:t>
            </w:r>
          </w:p>
        </w:tc>
        <w:tc>
          <w:tcPr>
            <w:tcW w:type="dxa" w:w="8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Set </w:t>
            </w:r>
            <w:r>
              <w:rPr>
                <w:b/>
                <w:bCs/>
                <w:color w:val="1A1A1A"/>
                <w:sz w:val="19"/>
                <w:szCs w:val="19"/>
              </w:rPr>
              <w:t xml:space="preserve">Save as type</w:t>
            </w:r>
            <w:r>
              <w:rPr>
                <w:color w:val="1A1A1A"/>
                <w:sz w:val="19"/>
                <w:szCs w:val="19"/>
              </w:rPr>
              <w:t xml:space="preserve"> to </w:t>
            </w:r>
            <w:r>
              <w:rPr>
                <w:b/>
                <w:bCs/>
                <w:color w:val="1A1A1A"/>
                <w:sz w:val="19"/>
                <w:szCs w:val="19"/>
              </w:rPr>
              <w:t xml:space="preserve">Power BI files (*.pbix)</w:t>
            </w:r>
          </w:p>
        </w:tc>
      </w:tr>
      <w:tr>
        <w:tc>
          <w:tcPr>
            <w:tcW w:type="dxa" w:w="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3</w:t>
            </w:r>
          </w:p>
        </w:tc>
        <w:tc>
          <w:tcPr>
            <w:tcW w:type="dxa" w:w="8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Name it, for example </w:t>
            </w:r>
            <w:r>
              <w:rPr>
                <w:rFonts w:ascii="Consolas" w:cs="Consolas" w:eastAsia="Consolas" w:hAnsi="Consolas"/>
                <w:color w:val="1A3A5A"/>
                <w:sz w:val="17"/>
                <w:szCs w:val="17"/>
              </w:rPr>
              <w:t xml:space="preserve">UPS_2025_Executive_Dashboard.pbix</w:t>
            </w:r>
          </w:p>
        </w:tc>
      </w:tr>
      <w:tr>
        <w:tc>
          <w:tcPr>
            <w:tcW w:type="dxa" w:w="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4</w:t>
            </w:r>
          </w:p>
        </w:tc>
        <w:tc>
          <w:tcPr>
            <w:tcW w:type="dxa" w:w="8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Save</w:t>
            </w:r>
          </w:p>
        </w:tc>
      </w:tr>
    </w:tbl>
    <w:p>
      <w:pPr>
        <w:spacing w:after="200"/>
      </w:pPr>
    </w:p>
    <w:p>
      <w:pPr>
        <w:spacing w:after="130" w:before="0" w:line="278"/>
      </w:pPr>
      <w:r>
        <w:rPr>
          <w:color w:val="1A1A1A"/>
          <w:sz w:val="21"/>
          <w:szCs w:val="21"/>
        </w:rPr>
        <w:t xml:space="preserve">That file is a full .pbix: model, data, and report in one. From here it behaves like any other — Publish to send it to the Power BI Service, or share the file directly.</w:t>
      </w:r>
    </w:p>
    <w:p>
      <w:pPr>
        <w:pBdr>
          <w:left w:val="single" w:color="1F5FA9" w:sz="18" w:space="10"/>
        </w:pBdr>
        <w:shd w:fill="F3F5F8" w:val="clear"/>
        <w:spacing w:after="0" w:before="170" w:line="278"/>
        <w:ind w:left="170" w:right="170"/>
      </w:pPr>
      <w:r>
        <w:rPr>
          <w:b/>
          <w:bCs/>
          <w:color w:val="1F5FA9"/>
          <w:sz w:val="20"/>
          <w:szCs w:val="20"/>
        </w:rPr>
        <w:t xml:space="preserve">Keep the template</w:t>
      </w:r>
    </w:p>
    <w:p>
      <w:pPr>
        <w:pBdr>
          <w:left w:val="single" w:color="1F5FA9" w:sz="18" w:space="10"/>
        </w:pBdr>
        <w:shd w:fill="F3F5F8" w:val="clear"/>
        <w:spacing w:after="210" w:before="50" w:line="278"/>
        <w:ind w:left="170" w:right="170"/>
      </w:pPr>
      <w:r>
        <w:rPr>
          <w:color w:val="1A1A1A"/>
          <w:sz w:val="20"/>
          <w:szCs w:val="20"/>
        </w:rPr>
        <w:t xml:space="preserve">The .pbit stays useful. It is a fraction of the size, contains no data, and is the thing to hand to a colleague who needs the same dashboard against their own folder. Regenerate it any time from the DAX sources with </w:t>
      </w:r>
      <w:r>
        <w:rPr>
          <w:rFonts w:ascii="Consolas" w:cs="Consolas" w:eastAsia="Consolas" w:hAnsi="Consolas"/>
          <w:color w:val="1A3A5A"/>
          <w:sz w:val="18"/>
          <w:szCs w:val="18"/>
        </w:rPr>
        <w:t xml:space="preserve">python powerbi/build_pbit.py</w:t>
      </w:r>
      <w:r>
        <w:rPr>
          <w:color w:val="1A1A1A"/>
          <w:sz w:val="20"/>
          <w:szCs w:val="20"/>
        </w:rPr>
        <w:t xml:space="preserve">.</w:t>
      </w:r>
    </w:p>
    <w:p>
      <w:pPr>
        <w:pStyle w:val="Heading1"/>
        <w:spacing w:after="170" w:before="380"/>
      </w:pPr>
      <w:r>
        <w:rPr>
          <w:b/>
          <w:bCs/>
          <w:color w:val="1A1A1A"/>
          <w:sz w:val="30"/>
          <w:szCs w:val="30"/>
        </w:rPr>
        <w:t xml:space="preserve">10. Troubleshooting</w:t>
      </w:r>
    </w:p>
    <w:p>
      <w:pPr>
        <w:pStyle w:val="Heading2"/>
        <w:spacing w:after="130" w:before="300"/>
      </w:pPr>
      <w:r>
        <w:rPr>
          <w:b/>
          <w:bCs/>
          <w:color w:val="1A1A1A"/>
          <w:sz w:val="24"/>
          <w:szCs w:val="24"/>
        </w:rPr>
        <w:t xml:space="preserve">The template will not open at all</w:t>
      </w:r>
    </w:p>
    <w:p>
      <w:pPr>
        <w:spacing w:after="130" w:before="0" w:line="278"/>
      </w:pPr>
      <w:r>
        <w:rPr>
          <w:color w:val="1A1A1A"/>
          <w:sz w:val="21"/>
          <w:szCs w:val="21"/>
        </w:rPr>
        <w:t xml:space="preserve">Power BI Desktop is strict about package structure and its expectations shift between versions. If Desktop rejects the file, the error text usually names the part it did not like — note it, because it points straight at the fix.</w:t>
      </w:r>
    </w:p>
    <w:p>
      <w:pPr>
        <w:spacing w:after="130" w:before="0" w:line="278"/>
      </w:pPr>
      <w:r>
        <w:rPr>
          <w:color w:val="1A1A1A"/>
          <w:sz w:val="21"/>
          <w:szCs w:val="21"/>
        </w:rPr>
        <w:t xml:space="preserve">Two working fallbacks, in order:</w:t>
      </w:r>
    </w:p>
    <w:p>
      <w:pPr>
        <w:pStyle w:val="Heading3"/>
        <w:spacing w:after="110" w:before="220"/>
      </w:pPr>
      <w:r>
        <w:rPr>
          <w:b/>
          <w:bCs/>
          <w:color w:val="5F5E5A"/>
          <w:sz w:val="21"/>
          <w:szCs w:val="21"/>
        </w:rPr>
        <w:t xml:space="preserve">Fallback A — the Power BI Project</w:t>
      </w:r>
    </w:p>
    <w:p>
      <w:pPr>
        <w:spacing w:after="130" w:before="0" w:line="278"/>
      </w:pPr>
      <w:r>
        <w:rPr>
          <w:color w:val="1A1A1A"/>
          <w:sz w:val="21"/>
          <w:szCs w:val="21"/>
        </w:rPr>
        <w:t xml:space="preserve">Open </w:t>
      </w:r>
      <w:r>
        <w:rPr>
          <w:rFonts w:ascii="Consolas" w:cs="Consolas" w:eastAsia="Consolas" w:hAnsi="Consolas"/>
          <w:color w:val="1A3A5A"/>
          <w:sz w:val="19"/>
          <w:szCs w:val="19"/>
        </w:rPr>
        <w:t xml:space="preserve">dist\pbip\UPS_2025_Executive_Dashboard.pbip</w:t>
      </w:r>
      <w:r>
        <w:rPr>
          <w:color w:val="1A1A1A"/>
          <w:sz w:val="21"/>
          <w:szCs w:val="21"/>
        </w:rPr>
        <w:t xml:space="preserve"> instead.</w:t>
      </w:r>
    </w:p>
    <w:p>
      <w:pPr>
        <w:spacing w:after="130" w:before="0" w:line="278"/>
      </w:pPr>
      <w:r>
        <w:rPr>
          <w:color w:val="1A1A1A"/>
          <w:sz w:val="21"/>
          <w:szCs w:val="21"/>
        </w:rPr>
        <w:t xml:space="preserve">This is Microsoft's supported text-based project format and uses a different, more tolerant loader than the .pbit package reader. It contains the same model and report.</w:t>
      </w:r>
    </w:p>
    <w:p>
      <w:pPr>
        <w:spacing w:after="130" w:before="0" w:line="278"/>
      </w:pPr>
      <w:r>
        <w:rPr>
          <w:color w:val="1A1A1A"/>
          <w:sz w:val="21"/>
          <w:szCs w:val="21"/>
        </w:rPr>
        <w:t xml:space="preserve">You may need to enable it first: File → Options and settings → Options → Preview features → </w:t>
      </w:r>
      <w:r>
        <w:rPr>
          <w:b/>
          <w:bCs/>
          <w:color w:val="1A1A1A"/>
          <w:sz w:val="21"/>
          <w:szCs w:val="21"/>
        </w:rPr>
        <w:t xml:space="preserve">Power BI Project (.pbip) save option</w:t>
      </w:r>
      <w:r>
        <w:rPr>
          <w:color w:val="1A1A1A"/>
          <w:sz w:val="21"/>
          <w:szCs w:val="21"/>
        </w:rPr>
        <w:t xml:space="preserve">, then restart Desktop.</w:t>
      </w:r>
    </w:p>
    <w:p>
      <w:pPr>
        <w:pStyle w:val="Heading3"/>
        <w:spacing w:after="110" w:before="220"/>
      </w:pPr>
      <w:r>
        <w:rPr>
          <w:b/>
          <w:bCs/>
          <w:color w:val="5F5E5A"/>
          <w:sz w:val="21"/>
          <w:szCs w:val="21"/>
        </w:rPr>
        <w:t xml:space="preserve">Fallback B — build it by hand</w:t>
      </w:r>
    </w:p>
    <w:p>
      <w:pPr>
        <w:spacing w:after="130" w:before="0" w:line="278"/>
      </w:pPr>
      <w:r>
        <w:rPr>
          <w:color w:val="1A1A1A"/>
          <w:sz w:val="21"/>
          <w:szCs w:val="21"/>
        </w:rPr>
        <w:t xml:space="preserve">Slower, but everything needed is in the repository and nothing is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Source</w:t>
            </w:r>
          </w:p>
        </w:tc>
        <w:tc>
          <w:tcPr>
            <w:tcW w:type="dxa" w:w="646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What it gives you</w:t>
            </w:r>
          </w:p>
        </w:tc>
      </w:tr>
      <w:tr>
        <w:tc>
          <w:tcPr>
            <w:tcW w:type="dxa" w:w="2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powerbi/powerquery/*.m</w:t>
            </w:r>
          </w:p>
        </w:tc>
        <w:tc>
          <w:tcPr>
            <w:tcW w:type="dxa" w:w="6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The queries, which read the raw extracts directly</w:t>
            </w:r>
          </w:p>
        </w:tc>
      </w:tr>
      <w:tr>
        <w:tc>
          <w:tcPr>
            <w:tcW w:type="dxa" w:w="2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powerbi/dax/*.dax</w:t>
            </w:r>
          </w:p>
        </w:tc>
        <w:tc>
          <w:tcPr>
            <w:tcW w:type="dxa" w:w="6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All 112 measures, in five files, ready to paste</w:t>
            </w:r>
          </w:p>
        </w:tc>
      </w:tr>
      <w:tr>
        <w:tc>
          <w:tcPr>
            <w:tcW w:type="dxa" w:w="2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powerbi/model/relationships.md</w:t>
            </w:r>
          </w:p>
        </w:tc>
        <w:tc>
          <w:tcPr>
            <w:tcW w:type="dxa" w:w="6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The relationship table and the reasoning behind three specific joins</w:t>
            </w:r>
          </w:p>
        </w:tc>
      </w:tr>
      <w:tr>
        <w:tc>
          <w:tcPr>
            <w:tcW w:type="dxa" w:w="2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powerbi/report_spec/</w:t>
            </w:r>
          </w:p>
        </w:tc>
        <w:tc>
          <w:tcPr>
            <w:tcW w:type="dxa" w:w="6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Page layouts, the slicer matrix, and interaction rules</w:t>
            </w:r>
          </w:p>
        </w:tc>
      </w:tr>
      <w:tr>
        <w:tc>
          <w:tcPr>
            <w:tcW w:type="dxa" w:w="2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rFonts w:ascii="Consolas" w:cs="Consolas" w:eastAsia="Consolas" w:hAnsi="Consolas"/>
                <w:color w:val="1A3A5A"/>
                <w:sz w:val="17"/>
                <w:szCs w:val="17"/>
              </w:rPr>
              <w:t xml:space="preserve">docs/06_build_checklist.md</w:t>
            </w:r>
          </w:p>
        </w:tc>
        <w:tc>
          <w:tcPr>
            <w:tcW w:type="dxa" w:w="6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The build order, with a verification step for every item</w:t>
            </w:r>
          </w:p>
        </w:tc>
      </w:tr>
    </w:tbl>
    <w:p>
      <w:pPr>
        <w:spacing w:after="200"/>
      </w:pPr>
    </w:p>
    <w:p>
      <w:pPr>
        <w:pStyle w:val="Heading2"/>
        <w:spacing w:after="130" w:before="300"/>
      </w:pPr>
      <w:r>
        <w:rPr>
          <w:b/>
          <w:bCs/>
          <w:color w:val="1A1A1A"/>
          <w:sz w:val="24"/>
          <w:szCs w:val="24"/>
        </w:rPr>
        <w:t xml:space="preserve">Common errors during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060"/>
      </w:tblGrid>
      <w:tr>
        <w:trPr>
          <w:tblHeader/>
        </w:trPr>
        <w:tc>
          <w:tcPr>
            <w:tcW w:type="dxa" w:w="320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Symptom</w:t>
            </w:r>
          </w:p>
        </w:tc>
        <w:tc>
          <w:tcPr>
            <w:tcW w:type="dxa" w:w="310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Cause</w:t>
            </w:r>
          </w:p>
        </w:tc>
        <w:tc>
          <w:tcPr>
            <w:tcW w:type="dxa" w:w="306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Fix</w:t>
            </w:r>
          </w:p>
        </w:tc>
      </w:tr>
      <w:tr>
        <w:tc>
          <w:tcPr>
            <w:tcW w:type="dxa" w:w="32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“We couldn't find the file” naming a CSV</w:t>
            </w:r>
          </w:p>
        </w:tc>
        <w:tc>
          <w:tcPr>
            <w:tcW w:type="dxa" w:w="31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Wrong p_DataFolder, or Step 1 not run</w:t>
            </w:r>
          </w:p>
        </w:tc>
        <w:tc>
          <w:tcPr>
            <w:tcW w:type="dxa" w:w="30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Check the path is absolute and has no trailing backslash</w:t>
            </w:r>
          </w:p>
        </w:tc>
      </w:tr>
      <w:tr>
        <w:tc>
          <w:tcPr>
            <w:tcW w:type="dxa" w:w="32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A column type conversion error</w:t>
            </w:r>
          </w:p>
        </w:tc>
        <w:tc>
          <w:tcPr>
            <w:tcW w:type="dxa" w:w="31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The CSVs were opened and re-saved in Excel, changing date or number formats</w:t>
            </w:r>
          </w:p>
        </w:tc>
        <w:tc>
          <w:tcPr>
            <w:tcW w:type="dxa" w:w="30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Re-run the ETL; do not open the CSVs in Excel between steps</w:t>
            </w:r>
          </w:p>
        </w:tc>
      </w:tr>
      <w:tr>
        <w:tc>
          <w:tcPr>
            <w:tcW w:type="dxa" w:w="32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Blank visuals on every page, no error</w:t>
            </w:r>
          </w:p>
        </w:tc>
        <w:tc>
          <w:tcPr>
            <w:tcW w:type="dxa" w:w="31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The model loaded but the tables are empty</w:t>
            </w:r>
          </w:p>
        </w:tc>
        <w:tc>
          <w:tcPr>
            <w:tcW w:type="dxa" w:w="30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Check the CSVs have rows beyond the header line</w:t>
            </w:r>
          </w:p>
        </w:tc>
      </w:tr>
      <w:tr>
        <w:tc>
          <w:tcPr>
            <w:tcW w:type="dxa" w:w="32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Blank on-time delivery, everything else fine</w:t>
            </w:r>
          </w:p>
        </w:tc>
        <w:tc>
          <w:tcPr>
            <w:tcW w:type="dxa" w:w="31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No Time-in-Transit data for the months loaded</w:t>
            </w:r>
          </w:p>
        </w:tc>
        <w:tc>
          <w:tcPr>
            <w:tcW w:type="dxa" w:w="30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Expected if only some months have transit extracts — the banner will say so</w:t>
            </w:r>
          </w:p>
        </w:tc>
      </w:tr>
      <w:tr>
        <w:tc>
          <w:tcPr>
            <w:tcW w:type="dxa" w:w="32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Month axes alphabetical</w:t>
            </w:r>
          </w:p>
        </w:tc>
        <w:tc>
          <w:tcPr>
            <w:tcW w:type="dxa" w:w="31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Step 5b not applied</w:t>
            </w:r>
          </w:p>
        </w:tc>
        <w:tc>
          <w:tcPr>
            <w:tcW w:type="dxa" w:w="30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Set the sort-by columns</w:t>
            </w:r>
          </w:p>
        </w:tc>
      </w:tr>
    </w:tbl>
    <w:p>
      <w:pPr>
        <w:spacing w:after="200"/>
      </w:pPr>
    </w:p>
    <w:p>
      <w:pPr>
        <w:pStyle w:val="Heading1"/>
        <w:spacing w:after="170" w:before="380"/>
      </w:pPr>
      <w:r>
        <w:rPr>
          <w:b/>
          <w:bCs/>
          <w:color w:val="1A1A1A"/>
          <w:sz w:val="30"/>
          <w:szCs w:val="30"/>
        </w:rPr>
        <w:t xml:space="preserve">11. After the .pbix exists</w:t>
      </w:r>
    </w:p>
    <w:p>
      <w:pPr>
        <w:spacing w:after="130" w:before="0" w:line="278"/>
      </w:pPr>
      <w:r>
        <w:rPr>
          <w:color w:val="1A1A1A"/>
          <w:sz w:val="21"/>
          <w:szCs w:val="21"/>
        </w:rPr>
        <w:t xml:space="preserve">The template deliberately omits several things that are faster to add in Desktop than to hand-author into the report definition. All are specified in </w:t>
      </w:r>
      <w:r>
        <w:rPr>
          <w:rFonts w:ascii="Consolas" w:cs="Consolas" w:eastAsia="Consolas" w:hAnsi="Consolas"/>
          <w:color w:val="1A3A5A"/>
          <w:sz w:val="19"/>
          <w:szCs w:val="19"/>
        </w:rPr>
        <w:t xml:space="preserve">powerbi/report_spec/</w:t>
      </w:r>
      <w:r>
        <w:rPr>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Addition</w:t>
            </w:r>
          </w:p>
        </w:tc>
        <w:tc>
          <w:tcPr>
            <w:tcW w:type="dxa" w:w="636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Why it matters</w:t>
            </w:r>
          </w:p>
        </w:tc>
      </w:tr>
      <w:tr>
        <w:tc>
          <w:tcPr>
            <w:tcW w:type="dxa" w:w="30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Global synced slicers — Year, Quarter, Month, Service Group, Domestic/International, Account, State</w:t>
            </w:r>
          </w:p>
        </w:tc>
        <w:tc>
          <w:tcPr>
            <w:tcW w:type="dxa" w:w="63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The spec says which pages each appears on, and which pages deliberately omit one</w:t>
            </w:r>
          </w:p>
        </w:tc>
      </w:tr>
      <w:tr>
        <w:tc>
          <w:tcPr>
            <w:tcW w:type="dxa" w:w="30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Drillthrough pages — Service, Account, Month, Location detail</w:t>
            </w:r>
          </w:p>
        </w:tc>
        <w:tc>
          <w:tcPr>
            <w:tcW w:type="dxa" w:w="63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Keeps the main pages clean while allowing investigation. Account Detail is the workhorse, since claims are account-grain</w:t>
            </w:r>
          </w:p>
        </w:tc>
      </w:tr>
      <w:tr>
        <w:tc>
          <w:tcPr>
            <w:tcW w:type="dxa" w:w="30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Conditional formatting — data bars on the loss-rate index; banner background driven by [Data Basis Banner Colour]</w:t>
            </w:r>
          </w:p>
        </w:tc>
        <w:tc>
          <w:tcPr>
            <w:tcW w:type="dxa" w:w="63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Turns the concentration table from a list into an obvious answer</w:t>
            </w:r>
          </w:p>
        </w:tc>
      </w:tr>
      <w:tr>
        <w:tc>
          <w:tcPr>
            <w:tcW w:type="dxa" w:w="30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Bookmarks, including “Threshold: none”</w:t>
            </w:r>
          </w:p>
        </w:tc>
        <w:tc>
          <w:tcPr>
            <w:tcW w:type="dxa" w:w="63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Toggling it in a review shows a tiny service jumping to the top of the ranking, which makes the case for volume governance better than any slide</w:t>
            </w:r>
          </w:p>
        </w:tc>
      </w:tr>
      <w:tr>
        <w:tc>
          <w:tcPr>
            <w:tcW w:type="dxa" w:w="30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Set KPI cards to no interaction</w:t>
            </w:r>
          </w:p>
        </w:tc>
        <w:tc>
          <w:tcPr>
            <w:tcW w:type="dxa" w:w="63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The default is Highlight; a user who clicks a card and sees the page change assumes the click meant something</w:t>
            </w:r>
          </w:p>
        </w:tc>
      </w:tr>
      <w:tr>
        <w:tc>
          <w:tcPr>
            <w:tcW w:type="dxa" w:w="30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Error bars on the on-time chart from [OTD Wilson Lower Bound]</w:t>
            </w:r>
          </w:p>
        </w:tc>
        <w:tc>
          <w:tcPr>
            <w:tcW w:type="dxa" w:w="63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Shows how much of each percentage is knowledge and how much is a small sample</w:t>
            </w:r>
          </w:p>
        </w:tc>
      </w:tr>
    </w:tbl>
    <w:p>
      <w:pPr>
        <w:spacing w:after="200"/>
      </w:pPr>
    </w:p>
    <w:p>
      <w:pPr>
        <w:pStyle w:val="Heading1"/>
        <w:spacing w:after="170" w:before="380"/>
      </w:pPr>
      <w:r>
        <w:rPr>
          <w:b/>
          <w:bCs/>
          <w:color w:val="1A1A1A"/>
          <w:sz w:val="30"/>
          <w:szCs w:val="30"/>
        </w:rPr>
        <w:t xml:space="preserve">12. Moving to direct refresh from the raw extracts</w:t>
      </w:r>
    </w:p>
    <w:p>
      <w:pPr>
        <w:spacing w:after="130" w:before="0" w:line="278"/>
      </w:pPr>
      <w:r>
        <w:rPr>
          <w:color w:val="1A1A1A"/>
          <w:sz w:val="21"/>
          <w:szCs w:val="21"/>
        </w:rPr>
        <w:t xml:space="preserve">The template loads CSVs produced by the Python ETL. That was a deliberate choice: the Power Query implementation that reads the raw UPS folder directly is several hundred lines of M that has never been executed, and a template that fails on load is worse than none. The ETL has been run against the real extracts and reconciles to them exactly.</w:t>
      </w:r>
    </w:p>
    <w:p>
      <w:pPr>
        <w:spacing w:after="130" w:before="0" w:line="278"/>
      </w:pPr>
      <w:r>
        <w:rPr>
          <w:color w:val="1A1A1A"/>
          <w:sz w:val="21"/>
          <w:szCs w:val="21"/>
        </w:rPr>
        <w:t xml:space="preserve">Once the model is open and you can iterate in Desktop, switching is contained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
            </w:r>
          </w:p>
        </w:tc>
        <w:tc>
          <w:tcPr>
            <w:tcW w:type="dxa" w:w="8460"/>
            <w:tcBorders>
              <w:top w:val="single" w:color="D8D7D0" w:sz="2"/>
              <w:left w:val="none" w:color="FFFFFF" w:sz="0"/>
              <w:bottom w:val="single" w:color="D8D7D0" w:sz="2"/>
              <w:right w:val="none" w:color="FFFFFF" w:sz="0"/>
            </w:tcBorders>
            <w:shd w:fill="E9ECF1" w:val="clear"/>
            <w:tcMar>
              <w:top w:type="dxa" w:w="95"/>
              <w:left w:type="dxa" w:w="135"/>
              <w:bottom w:type="dxa" w:w="95"/>
              <w:right w:type="dxa" w:w="135"/>
            </w:tcMar>
          </w:tcPr>
          <w:p>
            <w:pPr>
              <w:spacing w:after="0" w:line="262"/>
            </w:pPr>
            <w:r>
              <w:rPr>
                <w:b/>
                <w:bCs/>
                <w:color w:val="5F5E5A"/>
                <w:sz w:val="19"/>
                <w:szCs w:val="19"/>
              </w:rPr>
              <w:t xml:space="preserve">Step</w:t>
            </w:r>
          </w:p>
        </w:tc>
      </w:tr>
      <w:tr>
        <w:tc>
          <w:tcPr>
            <w:tcW w:type="dxa" w:w="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1</w:t>
            </w:r>
          </w:p>
        </w:tc>
        <w:tc>
          <w:tcPr>
            <w:tcW w:type="dxa" w:w="8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Add the parameters from </w:t>
            </w:r>
            <w:r>
              <w:rPr>
                <w:rFonts w:ascii="Consolas" w:cs="Consolas" w:eastAsia="Consolas" w:hAnsi="Consolas"/>
                <w:color w:val="1A3A5A"/>
                <w:sz w:val="17"/>
                <w:szCs w:val="17"/>
              </w:rPr>
              <w:t xml:space="preserve">powerbi/powerquery/00_Parameters.m</w:t>
            </w:r>
          </w:p>
        </w:tc>
      </w:tr>
      <w:tr>
        <w:tc>
          <w:tcPr>
            <w:tcW w:type="dxa" w:w="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2</w:t>
            </w:r>
          </w:p>
        </w:tc>
        <w:tc>
          <w:tcPr>
            <w:tcW w:type="dxa" w:w="8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Add the helper functions from </w:t>
            </w:r>
            <w:r>
              <w:rPr>
                <w:rFonts w:ascii="Consolas" w:cs="Consolas" w:eastAsia="Consolas" w:hAnsi="Consolas"/>
                <w:color w:val="1A3A5A"/>
                <w:sz w:val="17"/>
                <w:szCs w:val="17"/>
              </w:rPr>
              <w:t xml:space="preserve">01_fnHelpers.m</w:t>
            </w:r>
            <w:r>
              <w:rPr>
                <w:color w:val="1A1A1A"/>
                <w:sz w:val="19"/>
                <w:szCs w:val="19"/>
              </w:rPr>
              <w:t xml:space="preserve"> as blank queries, named exactly as shown</w:t>
            </w:r>
          </w:p>
        </w:tc>
      </w:tr>
      <w:tr>
        <w:tc>
          <w:tcPr>
            <w:tcW w:type="dxa" w:w="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3</w:t>
            </w:r>
          </w:p>
        </w:tc>
        <w:tc>
          <w:tcPr>
            <w:tcW w:type="dxa" w:w="8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Replace one fact query at a time, starting with Volume &amp; Spend</w:t>
            </w:r>
          </w:p>
        </w:tc>
      </w:tr>
      <w:tr>
        <w:tc>
          <w:tcPr>
            <w:tcW w:type="dxa" w:w="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4</w:t>
            </w:r>
          </w:p>
        </w:tc>
        <w:tc>
          <w:tcPr>
            <w:tcW w:type="dxa" w:w="8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After the first, reconcile January against the source extract. </w:t>
            </w:r>
            <w:r>
              <w:rPr>
                <w:b/>
                <w:bCs/>
                <w:color w:val="1A1A1A"/>
                <w:sz w:val="19"/>
                <w:szCs w:val="19"/>
              </w:rPr>
              <w:t xml:space="preserve">This is where the year-to-date double-count would appear.</w:t>
            </w:r>
          </w:p>
        </w:tc>
      </w:tr>
      <w:tr>
        <w:tc>
          <w:tcPr>
            <w:tcW w:type="dxa" w:w="90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5</w:t>
            </w:r>
          </w:p>
        </w:tc>
        <w:tc>
          <w:tcPr>
            <w:tcW w:type="dxa" w:w="8460"/>
            <w:tcBorders>
              <w:top w:val="single" w:color="D8D7D0" w:sz="2"/>
              <w:left w:val="none" w:color="FFFFFF" w:sz="0"/>
              <w:bottom w:val="single" w:color="D8D7D0" w:sz="2"/>
              <w:right w:val="none" w:color="FFFFFF" w:sz="0"/>
            </w:tcBorders>
            <w:tcMar>
              <w:top w:type="dxa" w:w="95"/>
              <w:left w:type="dxa" w:w="135"/>
              <w:bottom w:type="dxa" w:w="95"/>
              <w:right w:type="dxa" w:w="135"/>
            </w:tcMar>
          </w:tcPr>
          <w:p>
            <w:pPr>
              <w:spacing w:after="0" w:line="262"/>
            </w:pPr>
            <w:r>
              <w:rPr>
                <w:color w:val="1A1A1A"/>
                <w:sz w:val="19"/>
                <w:szCs w:val="19"/>
              </w:rPr>
              <w:t xml:space="preserve">Repeat for Time-in-Transit, Claims and Accessorial</w:t>
            </w:r>
          </w:p>
        </w:tc>
      </w:tr>
    </w:tbl>
    <w:p>
      <w:pPr>
        <w:spacing w:after="200"/>
      </w:pPr>
    </w:p>
    <w:p>
      <w:pPr>
        <w:pBdr>
          <w:left w:val="single" w:color="A32020" w:sz="18" w:space="10"/>
        </w:pBdr>
        <w:shd w:fill="F3F5F8" w:val="clear"/>
        <w:spacing w:after="0" w:before="170" w:line="278"/>
        <w:ind w:left="170" w:right="170"/>
      </w:pPr>
      <w:r>
        <w:rPr>
          <w:b/>
          <w:bCs/>
          <w:color w:val="A32020"/>
          <w:sz w:val="20"/>
          <w:szCs w:val="20"/>
        </w:rPr>
        <w:t xml:space="preserve">Why January is the test</w:t>
      </w:r>
    </w:p>
    <w:p>
      <w:pPr>
        <w:pBdr>
          <w:left w:val="single" w:color="A32020" w:sz="18" w:space="10"/>
        </w:pBdr>
        <w:shd w:fill="F3F5F8" w:val="clear"/>
        <w:spacing w:after="210" w:before="50" w:line="278"/>
        <w:ind w:left="170" w:right="170"/>
      </w:pPr>
      <w:r>
        <w:rPr>
          <w:color w:val="1A1A1A"/>
          <w:sz w:val="20"/>
          <w:szCs w:val="20"/>
        </w:rPr>
        <w:t xml:space="preserve">The February extract is a year-to-date file: it contains January as well as February. The January extract contains January. A conventional Get Data → Folder append — the obvious approach — double-counts January exactly. Measured on the real files that is a 100% overstatement of the month, with no error, no warning, and a total that still looks entirely plausible.</w:t>
      </w:r>
    </w:p>
    <w:p>
      <w:pPr>
        <w:pBdr>
          <w:bottom w:val="single" w:color="D8D7D0" w:sz="6" w:space="6"/>
        </w:pBdr>
        <w:spacing w:after="210" w:before="180"/>
      </w:pPr>
    </w:p>
    <w:p>
      <w:pPr>
        <w:spacing w:after="130" w:before="0" w:line="278"/>
      </w:pPr>
      <w:r>
        <w:rPr>
          <w:color w:val="5F5E5A"/>
          <w:sz w:val="20"/>
          <w:szCs w:val="20"/>
        </w:rPr>
        <w:t xml:space="preserve">Reference: </w:t>
      </w:r>
      <w:r>
        <w:rPr>
          <w:rFonts w:ascii="Consolas" w:cs="Consolas" w:eastAsia="Consolas" w:hAnsi="Consolas"/>
          <w:color w:val="1A3A5A"/>
          <w:sz w:val="18"/>
          <w:szCs w:val="18"/>
        </w:rPr>
        <w:t xml:space="preserve">docs/08_opening_the_powerbi_file.md</w:t>
      </w:r>
      <w:r>
        <w:rPr>
          <w:color w:val="5F5E5A"/>
          <w:sz w:val="20"/>
          <w:szCs w:val="20"/>
        </w:rPr>
        <w:t xml:space="preserve"> in the repository carries the same steps in short form, plus notes on regenerating the template.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5E5A"/>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7D0" w:sz="4" w:space="6"/>
      </w:pBdr>
      <w:spacing w:after="90"/>
      <w:jc w:val="right"/>
    </w:pPr>
    <w:r>
      <w:rPr>
        <w:color w:val="5F5E5A"/>
        <w:sz w:val="17"/>
        <w:szCs w:val="17"/>
      </w:rPr>
      <w:t xml:space="preserve">UPS 2025 Executive Dashboard  ·  .pbit → .pbix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Converting the Power BI Template</dc:title>
  <dc:creator>UPS 2025 Executive Dashboard build</dc:creator>
  <dc:description>From .pbit to .pbix — step by step, with verification</dc:description>
  <cp:lastModifiedBy>Un-named</cp:lastModifiedBy>
  <cp:revision>1</cp:revision>
  <dcterms:created xsi:type="dcterms:W3CDTF">2026-07-31T18:24:58.025Z</dcterms:created>
  <dcterms:modified xsi:type="dcterms:W3CDTF">2026-07-31T18:24:58.025Z</dcterms:modified>
</cp:coreProperties>
</file>

<file path=docProps/custom.xml><?xml version="1.0" encoding="utf-8"?>
<Properties xmlns="http://schemas.openxmlformats.org/officeDocument/2006/custom-properties" xmlns:vt="http://schemas.openxmlformats.org/officeDocument/2006/docPropsVTypes"/>
</file>