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289680">
      <w:pPr>
        <w:rPr>
          <w:rFonts w:hint="eastAsia"/>
          <w:sz w:val="24"/>
          <w:szCs w:val="32"/>
        </w:rPr>
      </w:pPr>
      <w:r>
        <w:rPr>
          <w:rFonts w:hint="eastAsia"/>
          <w:sz w:val="24"/>
          <w:szCs w:val="32"/>
        </w:rPr>
        <w:t>Was this paper previously declined or withdrawn from this or another ASCE journal? If so, please provide the previous manuscript number and explain what you have changed in this current version in the comments box below. You may upload a separate response to reviewers if your comments are extensive.</w:t>
      </w:r>
    </w:p>
    <w:p w14:paraId="59508894">
      <w:pPr>
        <w:rPr>
          <w:rFonts w:hint="eastAsia"/>
          <w:sz w:val="24"/>
          <w:szCs w:val="32"/>
        </w:rPr>
      </w:pPr>
    </w:p>
    <w:p w14:paraId="6629523E">
      <w:pPr>
        <w:rPr>
          <w:rFonts w:hint="eastAsia"/>
          <w:sz w:val="24"/>
          <w:szCs w:val="32"/>
          <w:lang w:val="en-US" w:eastAsia="zh-CN"/>
        </w:rPr>
      </w:pPr>
      <w:r>
        <w:rPr>
          <w:rFonts w:hint="eastAsia"/>
          <w:sz w:val="24"/>
          <w:szCs w:val="32"/>
          <w:lang w:val="en-US" w:eastAsia="zh-CN"/>
        </w:rPr>
        <w:t>Respond</w:t>
      </w:r>
      <w:r>
        <w:rPr>
          <w:rFonts w:hint="default"/>
          <w:sz w:val="24"/>
          <w:szCs w:val="32"/>
          <w:lang w:val="en-US" w:eastAsia="zh-CN"/>
        </w:rPr>
        <w:t xml:space="preserve">: </w:t>
      </w:r>
      <w:r>
        <w:rPr>
          <w:rFonts w:hint="eastAsia"/>
          <w:sz w:val="24"/>
          <w:szCs w:val="32"/>
          <w:lang w:val="en-US" w:eastAsia="zh-CN"/>
        </w:rPr>
        <w:t>Yes</w:t>
      </w:r>
    </w:p>
    <w:p w14:paraId="5ADD4A7F">
      <w:pPr>
        <w:rPr>
          <w:rFonts w:hint="eastAsia"/>
          <w:sz w:val="24"/>
          <w:szCs w:val="32"/>
          <w:lang w:val="en-US" w:eastAsia="zh-CN"/>
        </w:rPr>
      </w:pPr>
    </w:p>
    <w:p w14:paraId="44BF3DC3">
      <w:pPr>
        <w:rPr>
          <w:rFonts w:hint="default"/>
          <w:sz w:val="24"/>
          <w:szCs w:val="32"/>
          <w:lang w:val="en-US" w:eastAsia="zh-CN"/>
        </w:rPr>
      </w:pPr>
      <w:r>
        <w:rPr>
          <w:rFonts w:hint="default"/>
          <w:sz w:val="24"/>
          <w:szCs w:val="32"/>
          <w:lang w:val="en-US" w:eastAsia="zh-CN"/>
        </w:rPr>
        <w:t>Please provide the previous manuscript number and explain what you have changed in this current version in the comments box below. You may upload a separate response to reviewers if your comments are extensive.</w:t>
      </w:r>
    </w:p>
    <w:p w14:paraId="62F43EFE">
      <w:pPr>
        <w:rPr>
          <w:rFonts w:hint="default"/>
          <w:sz w:val="24"/>
          <w:szCs w:val="32"/>
          <w:lang w:val="en-US" w:eastAsia="zh-CN"/>
        </w:rPr>
      </w:pPr>
    </w:p>
    <w:p w14:paraId="7D0F362D">
      <w:pPr>
        <w:rPr>
          <w:rFonts w:hint="eastAsia"/>
          <w:sz w:val="24"/>
          <w:szCs w:val="32"/>
          <w:lang w:val="en-US" w:eastAsia="zh-CN"/>
        </w:rPr>
      </w:pPr>
      <w:r>
        <w:rPr>
          <w:rFonts w:hint="eastAsia"/>
          <w:sz w:val="24"/>
          <w:szCs w:val="32"/>
          <w:lang w:val="en-US" w:eastAsia="zh-CN"/>
        </w:rPr>
        <w:t>Respond</w:t>
      </w:r>
      <w:r>
        <w:rPr>
          <w:rFonts w:hint="default"/>
          <w:sz w:val="24"/>
          <w:szCs w:val="32"/>
          <w:lang w:val="en-US" w:eastAsia="zh-CN"/>
        </w:rPr>
        <w:t>: the previous manuscript</w:t>
      </w:r>
      <w:r>
        <w:rPr>
          <w:rFonts w:hint="eastAsia"/>
          <w:sz w:val="24"/>
          <w:szCs w:val="32"/>
          <w:lang w:val="en-US" w:eastAsia="zh-CN"/>
        </w:rPr>
        <w:t xml:space="preserve"> is </w:t>
      </w:r>
      <w:r>
        <w:rPr>
          <w:rFonts w:hint="default"/>
          <w:sz w:val="24"/>
          <w:szCs w:val="32"/>
          <w:lang w:val="en-US" w:eastAsia="zh-CN"/>
        </w:rPr>
        <w:t>COENG-19804</w:t>
      </w:r>
      <w:r>
        <w:rPr>
          <w:rFonts w:hint="eastAsia"/>
          <w:sz w:val="24"/>
          <w:szCs w:val="32"/>
          <w:lang w:val="en-US" w:eastAsia="zh-CN"/>
        </w:rPr>
        <w:t>。编辑拒绝的理由是“it is out of scope of JCEM”。经过修改与审查，我们认为该paper符合JME的aims and scope。</w:t>
      </w:r>
    </w:p>
    <w:p w14:paraId="65FDB3DE">
      <w:pPr>
        <w:rPr>
          <w:rFonts w:hint="default"/>
          <w:sz w:val="24"/>
          <w:szCs w:val="32"/>
          <w:lang w:val="en-US" w:eastAsia="zh-CN"/>
        </w:rPr>
      </w:pPr>
    </w:p>
    <w:p w14:paraId="0B1B6CFA">
      <w:pPr>
        <w:rPr>
          <w:rFonts w:hint="default"/>
          <w:sz w:val="24"/>
          <w:szCs w:val="32"/>
          <w:lang w:val="en-US" w:eastAsia="zh-CN"/>
        </w:rPr>
      </w:pPr>
      <w:r>
        <w:rPr>
          <w:rFonts w:hint="default"/>
          <w:sz w:val="24"/>
          <w:szCs w:val="32"/>
          <w:lang w:val="en-US" w:eastAsia="zh-CN"/>
        </w:rPr>
        <w:t xml:space="preserve">The previous manuscript number is COENG-19804 (submitted to the Journal of Construction Engineering and Management). The editor </w:t>
      </w:r>
      <w:r>
        <w:rPr>
          <w:rFonts w:hint="eastAsia"/>
          <w:sz w:val="24"/>
          <w:szCs w:val="32"/>
          <w:lang w:val="en-US" w:eastAsia="zh-CN"/>
        </w:rPr>
        <w:t>replie</w:t>
      </w:r>
      <w:r>
        <w:rPr>
          <w:rFonts w:hint="default"/>
          <w:sz w:val="24"/>
          <w:szCs w:val="32"/>
          <w:lang w:val="en-US" w:eastAsia="zh-CN"/>
        </w:rPr>
        <w:t>s that "it is out of scope of JCEM".</w:t>
      </w:r>
    </w:p>
    <w:p w14:paraId="5DB66C6E">
      <w:pPr>
        <w:rPr>
          <w:rFonts w:hint="default"/>
          <w:sz w:val="24"/>
          <w:szCs w:val="32"/>
          <w:lang w:val="en-US" w:eastAsia="zh-CN"/>
        </w:rPr>
      </w:pPr>
    </w:p>
    <w:p w14:paraId="04D33398">
      <w:pPr>
        <w:rPr>
          <w:rFonts w:hint="default"/>
          <w:sz w:val="24"/>
          <w:szCs w:val="32"/>
          <w:lang w:val="en-US" w:eastAsia="zh-CN"/>
        </w:rPr>
      </w:pPr>
      <w:r>
        <w:rPr>
          <w:rFonts w:hint="default"/>
          <w:sz w:val="24"/>
          <w:szCs w:val="32"/>
          <w:lang w:val="en-US" w:eastAsia="zh-CN"/>
        </w:rPr>
        <w:t>In this current version, we have revised the framing of the research background, problem description, and practical implications to focus on engineering management rather than technical processes. We believe this revised manuscript now aligns with the Journal of Management in Engineering (JME)—particularly its focus on partnering, technology and innovation management, and corporate and public policy. Our study advances engineering management knowledge and practice across four key areas:</w:t>
      </w:r>
    </w:p>
    <w:p w14:paraId="522FFBE3">
      <w:pPr>
        <w:rPr>
          <w:rFonts w:hint="default"/>
          <w:sz w:val="24"/>
          <w:szCs w:val="32"/>
          <w:lang w:val="en-US" w:eastAsia="zh-CN"/>
        </w:rPr>
      </w:pPr>
    </w:p>
    <w:p w14:paraId="7785E7D4">
      <w:pPr>
        <w:rPr>
          <w:rFonts w:hint="default"/>
          <w:sz w:val="24"/>
          <w:szCs w:val="32"/>
          <w:lang w:val="en-US" w:eastAsia="zh-CN"/>
        </w:rPr>
      </w:pPr>
      <w:r>
        <w:rPr>
          <w:rFonts w:hint="default"/>
          <w:sz w:val="24"/>
          <w:szCs w:val="32"/>
          <w:lang w:val="en-US" w:eastAsia="zh-CN"/>
        </w:rPr>
        <w:t>1. Establishing a biform game model for strategic partnering:</w:t>
      </w:r>
    </w:p>
    <w:p w14:paraId="59BD9338">
      <w:pPr>
        <w:rPr>
          <w:rFonts w:hint="default"/>
          <w:sz w:val="24"/>
          <w:szCs w:val="32"/>
          <w:lang w:val="en-US" w:eastAsia="zh-CN"/>
        </w:rPr>
      </w:pPr>
      <w:r>
        <w:rPr>
          <w:rFonts w:hint="default"/>
          <w:sz w:val="24"/>
          <w:szCs w:val="32"/>
          <w:lang w:val="en-US" w:eastAsia="zh-CN"/>
        </w:rPr>
        <w:t>Traditional construction management research often treats collection and processing, or competition and cooperation, as isolated stages. This study utilizes biform game theory to simultaneously model front-end pricing competition and back-end R&amp;D investment cooperation, demonstrating that a cooperative alliance achieves a robust Pareto improvement (Aligns with JME’s focus on: Partnering, Strategic Planning, and Conflict Management).</w:t>
      </w:r>
    </w:p>
    <w:p w14:paraId="70FCFE53">
      <w:pPr>
        <w:rPr>
          <w:rFonts w:hint="default"/>
          <w:sz w:val="24"/>
          <w:szCs w:val="32"/>
          <w:lang w:val="en-US" w:eastAsia="zh-CN"/>
        </w:rPr>
      </w:pPr>
    </w:p>
    <w:p w14:paraId="0C81220D">
      <w:pPr>
        <w:rPr>
          <w:rFonts w:hint="default"/>
          <w:sz w:val="24"/>
          <w:szCs w:val="32"/>
          <w:lang w:val="en-US" w:eastAsia="zh-CN"/>
        </w:rPr>
      </w:pPr>
      <w:r>
        <w:rPr>
          <w:rFonts w:hint="default"/>
          <w:sz w:val="24"/>
          <w:szCs w:val="32"/>
          <w:lang w:val="en-US" w:eastAsia="zh-CN"/>
        </w:rPr>
        <w:t>2. Quantifying the buffering capacity against carbon market volatility:</w:t>
      </w:r>
    </w:p>
    <w:p w14:paraId="1A99F58E">
      <w:pPr>
        <w:rPr>
          <w:rFonts w:hint="default"/>
          <w:sz w:val="24"/>
          <w:szCs w:val="32"/>
          <w:lang w:val="en-US" w:eastAsia="zh-CN"/>
        </w:rPr>
      </w:pPr>
      <w:r>
        <w:rPr>
          <w:rFonts w:hint="default"/>
          <w:sz w:val="24"/>
          <w:szCs w:val="32"/>
          <w:lang w:val="en-US" w:eastAsia="zh-CN"/>
        </w:rPr>
        <w:t>The carbon-intensive nature of concrete treatment exposes enterprises to severe legislative risks. Our model theoretically demonstrates how joint R&amp;D investment functions as a vital financial management buffer, showing how civil engineering firms can transform regulatory constraints into dynamic drivers for innovation (Aligns with JME’s focus on: Risk Management, Financial Management, Technology and Innovation Management).</w:t>
      </w:r>
    </w:p>
    <w:p w14:paraId="7294F1D0">
      <w:pPr>
        <w:rPr>
          <w:rFonts w:hint="default"/>
          <w:sz w:val="24"/>
          <w:szCs w:val="32"/>
          <w:lang w:val="en-US" w:eastAsia="zh-CN"/>
        </w:rPr>
      </w:pPr>
    </w:p>
    <w:p w14:paraId="7A12CEA3">
      <w:pPr>
        <w:rPr>
          <w:rFonts w:hint="default"/>
          <w:sz w:val="24"/>
          <w:szCs w:val="32"/>
          <w:lang w:val="en-US" w:eastAsia="zh-CN"/>
        </w:rPr>
      </w:pPr>
      <w:r>
        <w:rPr>
          <w:rFonts w:hint="default"/>
          <w:sz w:val="24"/>
          <w:szCs w:val="32"/>
          <w:lang w:val="en-US" w:eastAsia="zh-CN"/>
        </w:rPr>
        <w:t>3. Providing corporate and public policy guidance:</w:t>
      </w:r>
    </w:p>
    <w:p w14:paraId="37365838">
      <w:pPr>
        <w:rPr>
          <w:rFonts w:hint="default"/>
          <w:sz w:val="24"/>
          <w:szCs w:val="32"/>
          <w:lang w:val="en-US" w:eastAsia="zh-CN"/>
        </w:rPr>
      </w:pPr>
      <w:r>
        <w:rPr>
          <w:rFonts w:hint="default"/>
          <w:sz w:val="24"/>
          <w:szCs w:val="32"/>
          <w:lang w:val="en-US" w:eastAsia="zh-CN"/>
        </w:rPr>
        <w:t>Challenging the assumption that higher government funding is universally beneficial, our equilibrium analysis uncovers a critical subsidy threshold effect. Based on these insights, we deliver actionable guidance for practitioners and policymakers, such as implementing KPI-linked technology cost-sharing contracts and targeted structural logistics subsidies (Aligns with JME’s focus on: Corporate and Public Policy).</w:t>
      </w:r>
    </w:p>
    <w:p w14:paraId="08E6C928">
      <w:pPr>
        <w:rPr>
          <w:rFonts w:hint="default"/>
          <w:sz w:val="24"/>
          <w:szCs w:val="32"/>
          <w:lang w:val="en-US" w:eastAsia="zh-CN"/>
        </w:rPr>
      </w:pPr>
    </w:p>
    <w:p w14:paraId="5065C948">
      <w:pPr>
        <w:rPr>
          <w:rFonts w:hint="default"/>
          <w:sz w:val="24"/>
          <w:szCs w:val="32"/>
          <w:lang w:val="en-US" w:eastAsia="zh-CN"/>
        </w:rPr>
      </w:pPr>
      <w:r>
        <w:rPr>
          <w:rFonts w:hint="default"/>
          <w:sz w:val="24"/>
          <w:szCs w:val="32"/>
          <w:lang w:val="en-US" w:eastAsia="zh-CN"/>
        </w:rPr>
        <w:t>4. Addressing unique engineering realities and logistical asymmetries:</w:t>
      </w:r>
    </w:p>
    <w:p w14:paraId="7C80FF3B">
      <w:pPr>
        <w:rPr>
          <w:rFonts w:hint="default"/>
          <w:sz w:val="24"/>
          <w:szCs w:val="32"/>
          <w:lang w:val="en-US" w:eastAsia="zh-CN"/>
        </w:rPr>
      </w:pPr>
      <w:r>
        <w:rPr>
          <w:rFonts w:hint="default"/>
          <w:sz w:val="24"/>
          <w:szCs w:val="32"/>
          <w:lang w:val="en-US" w:eastAsia="zh-CN"/>
        </w:rPr>
        <w:t>By endogenizing the unique physical constraints of C&amp;D waste (low unit value, massive physical volume) and stark logistical asymmetries (the manufacturer's backhaul advantage vs. the recycler's dedicated logistics), our study provides a context-specific contribution to management practices in civil engineering (Aligns with JME’s focus on: the Practice of Civil Engineering).</w:t>
      </w:r>
    </w:p>
    <w:p w14:paraId="17594B95">
      <w:pPr>
        <w:rPr>
          <w:rFonts w:hint="eastAsia"/>
          <w:sz w:val="24"/>
          <w:szCs w:val="32"/>
          <w:lang w:val="en-US" w:eastAsia="zh-CN"/>
        </w:rPr>
      </w:pPr>
    </w:p>
    <w:p w14:paraId="5D8799FC">
      <w:pPr>
        <w:rPr>
          <w:rFonts w:hint="eastAsia"/>
          <w:sz w:val="24"/>
          <w:szCs w:val="32"/>
          <w:lang w:val="en-US" w:eastAsia="zh-CN"/>
        </w:rPr>
      </w:pPr>
    </w:p>
    <w:p w14:paraId="24E0FABA">
      <w:pPr>
        <w:rPr>
          <w:rFonts w:hint="eastAsia"/>
          <w:sz w:val="24"/>
          <w:szCs w:val="32"/>
          <w:lang w:val="en-US" w:eastAsia="zh-CN"/>
        </w:rPr>
      </w:pPr>
    </w:p>
    <w:p w14:paraId="6121C1CE">
      <w:pPr>
        <w:rPr>
          <w:rFonts w:hint="default"/>
          <w:sz w:val="24"/>
          <w:szCs w:val="32"/>
          <w:lang w:val="en-US" w:eastAsia="zh-CN"/>
        </w:rPr>
      </w:pPr>
      <w:r>
        <w:rPr>
          <w:rFonts w:hint="default"/>
          <w:sz w:val="24"/>
          <w:szCs w:val="32"/>
          <w:lang w:val="en-US" w:eastAsia="zh-CN"/>
        </w:rPr>
        <w:t>Authors are expected to present their papers within the page limitations described under Types of Journal Content. Technical papers and Case Studies must not exceed 30 double-spaced manuscript pages, including all figures and tables. Technical notes must not exceed 7 double-spaced manuscript pages. Papers that exceed the limits must be justified. Grossly over-length papers may be returned without review. Does this paper exceed the ASCE length limitations? If yes, please provide justification in the comments box below.</w:t>
      </w:r>
    </w:p>
    <w:p w14:paraId="1371BF68">
      <w:pPr>
        <w:rPr>
          <w:rFonts w:hint="default"/>
          <w:sz w:val="24"/>
          <w:szCs w:val="32"/>
          <w:lang w:val="en-US" w:eastAsia="zh-CN"/>
        </w:rPr>
      </w:pPr>
    </w:p>
    <w:p w14:paraId="1E729856">
      <w:pPr>
        <w:rPr>
          <w:rFonts w:hint="default"/>
          <w:sz w:val="24"/>
          <w:szCs w:val="32"/>
          <w:lang w:val="en-US" w:eastAsia="zh-CN"/>
        </w:rPr>
      </w:pPr>
      <w:r>
        <w:rPr>
          <w:rFonts w:hint="eastAsia"/>
          <w:sz w:val="24"/>
          <w:szCs w:val="32"/>
          <w:lang w:val="en-US" w:eastAsia="zh-CN"/>
        </w:rPr>
        <w:t>Respond</w:t>
      </w:r>
      <w:r>
        <w:rPr>
          <w:rFonts w:hint="default"/>
          <w:sz w:val="24"/>
          <w:szCs w:val="32"/>
          <w:lang w:val="en-US" w:eastAsia="zh-CN"/>
        </w:rPr>
        <w:t>: Yes</w:t>
      </w:r>
    </w:p>
    <w:p w14:paraId="4B281423">
      <w:pPr>
        <w:rPr>
          <w:rFonts w:hint="default"/>
          <w:sz w:val="24"/>
          <w:szCs w:val="32"/>
          <w:lang w:val="en-US" w:eastAsia="zh-CN"/>
        </w:rPr>
      </w:pPr>
    </w:p>
    <w:p w14:paraId="4912FFA2">
      <w:pPr>
        <w:rPr>
          <w:rFonts w:hint="default"/>
          <w:sz w:val="24"/>
          <w:szCs w:val="32"/>
          <w:lang w:val="en-US" w:eastAsia="zh-CN"/>
        </w:rPr>
      </w:pPr>
      <w:r>
        <w:rPr>
          <w:rFonts w:hint="default"/>
          <w:sz w:val="24"/>
          <w:szCs w:val="32"/>
          <w:lang w:val="en-US" w:eastAsia="zh-CN"/>
        </w:rPr>
        <w:t xml:space="preserve">If yes, please provide justification in the comments box below.  </w:t>
      </w:r>
    </w:p>
    <w:p w14:paraId="6018F055">
      <w:pPr>
        <w:rPr>
          <w:rFonts w:hint="default"/>
          <w:sz w:val="24"/>
          <w:szCs w:val="32"/>
          <w:lang w:val="en-US" w:eastAsia="zh-CN"/>
        </w:rPr>
      </w:pPr>
    </w:p>
    <w:p w14:paraId="0C884ABD">
      <w:pPr>
        <w:rPr>
          <w:rFonts w:hint="default"/>
          <w:sz w:val="24"/>
          <w:szCs w:val="32"/>
          <w:lang w:val="en-US" w:eastAsia="zh-CN"/>
        </w:rPr>
      </w:pPr>
      <w:r>
        <w:rPr>
          <w:rFonts w:hint="default"/>
          <w:sz w:val="24"/>
          <w:szCs w:val="32"/>
          <w:lang w:val="en-US" w:eastAsia="zh-CN"/>
        </w:rPr>
        <w:t>Respond: We have conducted a comprehensive review of our paper and believe all current elements are necessary for a complete presentation of our work. The manuscript exceeds the 30-page limit primarily because of the figures. To provide the highest clarity for the editorial team and reviewers, we have formatted the document so that each figure occupies a single, separate page. While this significantly increases the overall page count, the core text remains concise. Furthermore, to fully demonstrate our analytical results, we have included 24 essential equations, which somewhat increases the page count. To mitigate this and keep the main text concise, we have placed the detailed mathematical derivation steps in the appendix.</w:t>
      </w:r>
      <w:r>
        <w:rPr>
          <w:rFonts w:hint="eastAsia"/>
          <w:sz w:val="24"/>
          <w:szCs w:val="32"/>
          <w:lang w:val="en-US" w:eastAsia="zh-CN"/>
        </w:rPr>
        <w:t xml:space="preserve"> </w:t>
      </w:r>
      <w:bookmarkStart w:id="0" w:name="_GoBack"/>
      <w:bookmarkEnd w:id="0"/>
      <w:r>
        <w:rPr>
          <w:rFonts w:hint="default"/>
          <w:sz w:val="24"/>
          <w:szCs w:val="32"/>
          <w:lang w:val="en-US" w:eastAsia="zh-CN"/>
        </w:rPr>
        <w:t>We are more than happy to adjust the figure sizes to reduce the page count if required at a later stage.</w:t>
      </w:r>
    </w:p>
    <w:sectPr>
      <w:pgSz w:w="11906" w:h="16838"/>
      <w:pgMar w:top="1440" w:right="1800" w:bottom="1440" w:left="1800"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Verdana">
    <w:panose1 w:val="020B0804030504040204"/>
    <w:charset w:val="00"/>
    <w:family w:val="auto"/>
    <w:pitch w:val="default"/>
    <w:sig w:usb0="A10006FF" w:usb1="4000205B" w:usb2="00000010" w:usb3="00000000" w:csb0="2000019F" w:csb1="00000000"/>
  </w:font>
  <w:font w:name="Calibri Light">
    <w:altName w:val="Helvetica Neue"/>
    <w:panose1 w:val="00000000000000000000"/>
    <w:charset w:val="00"/>
    <w:family w:val="auto"/>
    <w:pitch w:val="default"/>
    <w:sig w:usb0="00000000" w:usb1="00000000" w:usb2="00000000" w:usb3="00000000" w:csb0="00000000" w:csb1="00000000"/>
  </w:font>
  <w:font w:name="+中文正文">
    <w:altName w:val="苹方-简"/>
    <w:panose1 w:val="00000000000000000000"/>
    <w:charset w:val="00"/>
    <w:family w:val="auto"/>
    <w:pitch w:val="default"/>
    <w:sig w:usb0="00000000" w:usb1="00000000" w:usb2="00000000" w:usb3="00000000" w:csb0="00000000" w:csb1="00000000"/>
  </w:font>
  <w:font w:name="+西文正文">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timrs">
    <w:altName w:val="苹方-简"/>
    <w:panose1 w:val="00000000000000000000"/>
    <w:charset w:val="00"/>
    <w:family w:val="auto"/>
    <w:pitch w:val="default"/>
    <w:sig w:usb0="00000000" w:usb1="00000000" w:usb2="00000000" w:usb3="00000000" w:csb0="00000000" w:csb1="00000000"/>
  </w:font>
  <w:font w:name="timr">
    <w:altName w:val="苹方-简"/>
    <w:panose1 w:val="00000000000000000000"/>
    <w:charset w:val="00"/>
    <w:family w:val="auto"/>
    <w:pitch w:val="default"/>
    <w:sig w:usb0="00000000" w:usb1="00000000" w:usb2="00000000" w:usb3="00000000" w:csb0="00000000" w:csb1="00000000"/>
  </w:font>
  <w:font w:name="tim">
    <w:altName w:val="苹方-简"/>
    <w:panose1 w:val="00000000000000000000"/>
    <w:charset w:val="00"/>
    <w:family w:val="auto"/>
    <w:pitch w:val="default"/>
    <w:sig w:usb0="00000000" w:usb1="00000000" w:usb2="00000000" w:usb3="00000000" w:csb0="00000000" w:csb1="00000000"/>
  </w:font>
  <w:font w:name="times">
    <w:altName w:val="苹方-简"/>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gutterAtTop/>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F79FDD"/>
    <w:rsid w:val="371B51C0"/>
    <w:rsid w:val="BFFB703C"/>
    <w:rsid w:val="DF176739"/>
    <w:rsid w:val="FFF79F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140</TotalTime>
  <ScaleCrop>false</ScaleCrop>
  <LinksUpToDate>false</LinksUpToDate>
  <CharactersWithSpaces>0</CharactersWithSpaces>
  <Application>WPS Office_12.1.24709.24709_F1E327BC-269C-435d-A152-05C5408002CA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2026-06-13T14:10:00Z</dcterms:created>
  <dc:creator>Z</dc:creator>
  <cp:lastModifiedBy>Z</cp:lastModifiedBy>
  <dcterms:modified xsi:type="dcterms:W3CDTF">2026-06-13T19:27:26Z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2052-12.1.24709.24709</vt:lpwstr>
  </property>
  <property fmtid="{D5CDD505-2E9C-101B-9397-08002B2CF9AE}" pid="3" name="ICV">
    <vt:lpwstr>BA310D30C1C4A8E43FF42C6A7F51C78E_41</vt:lpwstr>
  </property>
</Properties>
</file>