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289680">
      <w:pPr>
        <w:pStyle w:val="2"/>
        <w:bidi w:val="0"/>
        <w:rPr>
          <w:rFonts w:hint="default" w:ascii="Times New Roman" w:hAnsi="Times New Roman" w:cs="Times New Roman"/>
          <w:b w:val="0"/>
          <w:lang w:val="en-US" w:eastAsia="zh-CN"/>
        </w:rPr>
      </w:pPr>
      <w:r>
        <w:rPr>
          <w:rFonts w:hint="default" w:ascii="Times New Roman" w:hAnsi="Times New Roman" w:cs="Times New Roman"/>
          <w:b w:val="0"/>
          <w:lang w:val="en-US" w:eastAsia="zh-CN"/>
        </w:rPr>
        <w:t>Contribution</w:t>
      </w:r>
    </w:p>
    <w:p w14:paraId="20DDCC19">
      <w:pPr>
        <w:rPr>
          <w:rFonts w:hint="default" w:ascii="Times New Roman" w:hAnsi="Times New Roman" w:cs="Times New Roman"/>
          <w:b w:val="0"/>
          <w:sz w:val="22"/>
          <w:szCs w:val="28"/>
          <w:lang w:val="en-US" w:eastAsia="zh-CN"/>
        </w:rPr>
      </w:pPr>
      <w:r>
        <w:rPr>
          <w:rFonts w:hint="default" w:ascii="Times New Roman" w:hAnsi="Times New Roman" w:cs="Times New Roman"/>
          <w:b w:val="0"/>
          <w:sz w:val="22"/>
          <w:szCs w:val="28"/>
          <w:lang w:val="en-US" w:eastAsia="zh-CN"/>
        </w:rPr>
        <w:t xml:space="preserve">Regarding methodologies, the study develops a two-stage biform game framework for waste concrete recycling that integrates front-end pricing competition and back-end </w:t>
      </w:r>
      <w:r>
        <w:rPr>
          <w:rFonts w:hint="eastAsia" w:ascii="Times New Roman" w:hAnsi="Times New Roman" w:cs="Times New Roman"/>
          <w:b w:val="0"/>
          <w:sz w:val="22"/>
          <w:szCs w:val="28"/>
          <w:lang w:val="en-US" w:eastAsia="zh-CN"/>
        </w:rPr>
        <w:t>R</w:t>
      </w:r>
      <w:r>
        <w:rPr>
          <w:rFonts w:hint="default" w:ascii="Times New Roman" w:hAnsi="Times New Roman" w:cs="Times New Roman"/>
          <w:b w:val="0"/>
          <w:sz w:val="22"/>
          <w:szCs w:val="28"/>
          <w:lang w:val="en-US" w:eastAsia="zh-CN"/>
        </w:rPr>
        <w:t>&amp;D investment cooperation. This approach addresses the limitations of single-stage non-cooperative games and considers the cap-and-trade mechanism. In terms of impacts, the research proves that cooperative investment within a competitive environment achieves a Pareto improvement. Both concrete manufacturers and recyclers realize higher individual profits and higher waste conversion rates under this cooperative framework. For applications, the analytical model provides a structural foundation for enterprise operations and government policy design. It offers a quantitative basis for firms to design R&amp;D investment sharing contracts and carbon risk-sharing mechanisms. Furthermore, it equips policymakers with an economic rationale for deploying targeted structural subsidies and balanced carbon quotas to foster a sustainable circular economy in the construction sector.</w:t>
      </w:r>
    </w:p>
    <w:p w14:paraId="42EF7A95">
      <w:pPr>
        <w:pStyle w:val="2"/>
        <w:bidi w:val="0"/>
        <w:rPr>
          <w:rFonts w:hint="default" w:ascii="Times New Roman" w:hAnsi="Times New Roman" w:cs="Times New Roman"/>
          <w:b w:val="0"/>
        </w:rPr>
      </w:pPr>
      <w:r>
        <w:rPr>
          <w:rFonts w:hint="default" w:ascii="Times New Roman" w:hAnsi="Times New Roman" w:cs="Times New Roman"/>
          <w:b w:val="0"/>
          <w:lang w:val="en-US" w:eastAsia="zh-CN"/>
        </w:rPr>
        <w:t>Merits </w:t>
      </w:r>
    </w:p>
    <w:p w14:paraId="2D22F768">
      <w:pPr>
        <w:rPr>
          <w:rFonts w:hint="eastAsia"/>
          <w:lang w:val="en-US" w:eastAsia="zh-CN"/>
        </w:rPr>
      </w:pPr>
      <w:r>
        <w:rPr>
          <w:rFonts w:hint="eastAsia"/>
          <w:lang w:val="en-US" w:eastAsia="zh-CN"/>
        </w:rPr>
        <w:t xml:space="preserve">1.M. Yuan, H. Liu, H. Wang, Y. Dou and X. Yin, "Exploring the Evolution of Collaborative Innovation in the Construction and Demolition Waste Management Industry: Evidence From China," doi: 10.1109/TEM.2025.3580426. </w:t>
      </w:r>
    </w:p>
    <w:p w14:paraId="05AAC38E">
      <w:pPr>
        <w:rPr>
          <w:rFonts w:hint="eastAsia"/>
          <w:lang w:val="en-US" w:eastAsia="zh-CN"/>
        </w:rPr>
      </w:pPr>
      <w:r>
        <w:rPr>
          <w:rFonts w:hint="eastAsia"/>
          <w:lang w:val="en-US" w:eastAsia="zh-CN"/>
        </w:rPr>
        <w:t xml:space="preserve">2.W. Chen, R. Zhu and J. Chen, "Impact of Unit Carbon Quota Mechanism on Clean Energy Investment Strategies: A Biform Game Analysis," doi: 10.1109/TEM.2026.3683708. </w:t>
      </w:r>
    </w:p>
    <w:p w14:paraId="05B57426">
      <w:pPr>
        <w:rPr>
          <w:rFonts w:hint="default"/>
          <w:lang w:val="en-US" w:eastAsia="zh-CN"/>
        </w:rPr>
      </w:pPr>
      <w:r>
        <w:rPr>
          <w:rFonts w:hint="eastAsia"/>
          <w:lang w:val="en-US" w:eastAsia="zh-CN"/>
        </w:rPr>
        <w:t>3.M. Li, D. Li and L. Wei, "Manufacturing Platform’s Pricing and Green R&amp;D With Technology Spillovers Under Supply Chain Co-opetition," doi: 10.1109/TEM.2025.3602008.</w:t>
      </w:r>
    </w:p>
    <w:p w14:paraId="2162FB60">
      <w:pPr>
        <w:rPr>
          <w:rFonts w:hint="eastAsia"/>
          <w:lang w:val="en-US" w:eastAsia="zh-CN"/>
        </w:rPr>
      </w:pPr>
      <w:r>
        <w:rPr>
          <w:rFonts w:hint="eastAsia"/>
          <w:lang w:val="en-US" w:eastAsia="zh-CN"/>
        </w:rPr>
        <w:t>Yuan et al.</w:t>
      </w:r>
      <w:r>
        <w:rPr>
          <w:rFonts w:hint="default"/>
          <w:lang w:val="en-US" w:eastAsia="zh-CN"/>
        </w:rPr>
        <w:t>(2025)</w:t>
      </w:r>
      <w:r>
        <w:rPr>
          <w:rFonts w:hint="eastAsia"/>
          <w:lang w:val="en-US" w:eastAsia="zh-CN"/>
        </w:rPr>
        <w:t xml:space="preserve"> empirically emphasize the necessity of collaborative innovation in construction and demolition waste management. Building on this, our study mathematically demonstrates this necessity by modeling cooperative R&amp;D investment specifically for waste concrete recycling.</w:t>
      </w:r>
    </w:p>
    <w:p w14:paraId="39B77A9D">
      <w:pPr>
        <w:rPr>
          <w:rFonts w:hint="eastAsia"/>
          <w:lang w:val="en-US" w:eastAsia="zh-CN"/>
        </w:rPr>
      </w:pPr>
      <w:r>
        <w:rPr>
          <w:rFonts w:hint="eastAsia"/>
          <w:lang w:val="en-US" w:eastAsia="zh-CN"/>
        </w:rPr>
        <w:t>Furthermore, Chen et al.</w:t>
      </w:r>
      <w:r>
        <w:rPr>
          <w:rFonts w:hint="default"/>
          <w:lang w:val="en-US" w:eastAsia="zh-CN"/>
        </w:rPr>
        <w:t xml:space="preserve">(2026) </w:t>
      </w:r>
      <w:r>
        <w:rPr>
          <w:rFonts w:hint="eastAsia"/>
          <w:lang w:val="en-US" w:eastAsia="zh-CN"/>
        </w:rPr>
        <w:t>and Li et al.</w:t>
      </w:r>
      <w:r>
        <w:rPr>
          <w:rFonts w:hint="default"/>
          <w:lang w:val="en-US" w:eastAsia="zh-CN"/>
        </w:rPr>
        <w:t xml:space="preserve">(2025) </w:t>
      </w:r>
      <w:r>
        <w:rPr>
          <w:rFonts w:hint="eastAsia"/>
          <w:lang w:val="en-US" w:eastAsia="zh-CN"/>
        </w:rPr>
        <w:t>utilize biform games to analyze low-carbon investments and green R&amp;D within energy and platform supply chains. We extend this biform game application into the construction sector's recycling industry, uniquely incorporating the cap-and-trade mechanism into the framework.</w:t>
      </w:r>
    </w:p>
    <w:p w14:paraId="1FAED07D">
      <w:pPr>
        <w:rPr>
          <w:rFonts w:hint="eastAsia"/>
          <w:lang w:val="en-US" w:eastAsia="zh-CN"/>
        </w:rPr>
      </w:pPr>
      <w:r>
        <w:rPr>
          <w:rFonts w:hint="eastAsia"/>
          <w:lang w:val="en-US" w:eastAsia="zh-CN"/>
        </w:rPr>
        <w:t>Our paper proves that engaging in cooperation within a competitive environment achieves a Pareto improvement and effectively buffers against the economic shocks caused by carbon price volatility. Consequently, this study provides actionable, quantitative guidance for industry practitioners and policymakers navigating environmental regulations.</w:t>
      </w:r>
    </w:p>
    <w:p w14:paraId="326255BE">
      <w:pPr>
        <w:rPr>
          <w:rFonts w:hint="eastAsia"/>
          <w:lang w:val="en-US" w:eastAsia="zh-CN"/>
        </w:rPr>
      </w:pPr>
    </w:p>
    <w:p w14:paraId="75A5B4B4">
      <w:pPr>
        <w:rPr>
          <w:rFonts w:hint="eastAsia"/>
          <w:lang w:val="en-US" w:eastAsia="zh-CN"/>
        </w:rPr>
      </w:pPr>
      <w:r>
        <w:rPr>
          <w:rFonts w:hint="eastAsia"/>
          <w:lang w:val="en-US" w:eastAsia="zh-CN"/>
        </w:rPr>
        <w:t>This research makes specific contributions to both the state of the art and the state of</w:t>
      </w:r>
    </w:p>
    <w:p w14:paraId="0E15BC56">
      <w:pPr>
        <w:rPr>
          <w:rFonts w:hint="eastAsia"/>
          <w:lang w:val="en-US" w:eastAsia="zh-CN"/>
        </w:rPr>
      </w:pPr>
      <w:r>
        <w:rPr>
          <w:rFonts w:hint="eastAsia"/>
          <w:lang w:val="en-US" w:eastAsia="zh-CN"/>
        </w:rPr>
        <w:t>the practice in the CEM domain:</w:t>
      </w:r>
    </w:p>
    <w:p w14:paraId="42067A48">
      <w:pPr>
        <w:rPr>
          <w:rFonts w:hint="default"/>
          <w:lang w:val="en-US" w:eastAsia="zh-CN"/>
        </w:rPr>
      </w:pPr>
    </w:p>
    <w:p w14:paraId="3C23C09F">
      <w:pPr>
        <w:rPr>
          <w:rFonts w:hint="eastAsia"/>
          <w:lang w:val="en-US" w:eastAsia="zh-CN"/>
        </w:rPr>
      </w:pPr>
      <w:r>
        <w:rPr>
          <w:rFonts w:hint="eastAsia"/>
          <w:lang w:val="en-US" w:eastAsia="zh-CN"/>
        </w:rPr>
        <w:t>Contribution to the State of the Art</w:t>
      </w:r>
    </w:p>
    <w:p w14:paraId="688C8752">
      <w:pPr>
        <w:rPr>
          <w:rFonts w:hint="eastAsia"/>
          <w:lang w:val="en-US" w:eastAsia="zh-CN"/>
        </w:rPr>
      </w:pPr>
    </w:p>
    <w:p w14:paraId="08BE0733">
      <w:pPr>
        <w:numPr>
          <w:ilvl w:val="0"/>
          <w:numId w:val="1"/>
        </w:numPr>
        <w:rPr>
          <w:rFonts w:hint="eastAsia"/>
          <w:lang w:val="en-US" w:eastAsia="zh-CN"/>
        </w:rPr>
      </w:pPr>
      <w:r>
        <w:rPr>
          <w:rFonts w:hint="eastAsia"/>
          <w:lang w:val="en-US" w:eastAsia="zh-CN"/>
        </w:rPr>
        <w:t>Expanding Biform Game Theory in Closed-Loop Supply Chains: This study pushes the application boundaries of biform game theory by moving beyond traditional single-stage, non-cooperative modeling. It constructs a two-stage analytical paradigm that formally captures the intertwined dynamics of front-end pricing competition and back-end technology investment cooperation, providing a theoretical foundation for how competitors can successfully achieve co-opetition in waste concrete recycling.</w:t>
      </w:r>
    </w:p>
    <w:p w14:paraId="4184204D">
      <w:pPr>
        <w:rPr>
          <w:rFonts w:hint="eastAsia"/>
          <w:lang w:val="en-US" w:eastAsia="zh-CN"/>
        </w:rPr>
      </w:pPr>
    </w:p>
    <w:p w14:paraId="64A3DDF3">
      <w:pPr>
        <w:numPr>
          <w:ilvl w:val="0"/>
          <w:numId w:val="1"/>
        </w:numPr>
        <w:ind w:left="0" w:leftChars="0" w:firstLine="0" w:firstLineChars="0"/>
        <w:rPr>
          <w:rFonts w:hint="eastAsia"/>
          <w:lang w:val="en-US" w:eastAsia="zh-CN"/>
        </w:rPr>
      </w:pPr>
      <w:r>
        <w:rPr>
          <w:rFonts w:hint="eastAsia"/>
          <w:lang w:val="en-US" w:eastAsia="zh-CN"/>
        </w:rPr>
        <w:t>Endogenizing Carbon Market Dynamics for Supply Chain Resilience: The research innovatively integrates the cap-and-trade mechanism into economic decision-making models. Rather than treating environmental policies merely as exogenous static cost penalties, this model couples carbon market dynamics directly with cooperative investment strategies. It theoretically demonstrates and quantifies how strategic R&amp;D alliances serve as a financial buffer against carbon price volatility, thereby advancing the broader theory of low-carbon supply chain resilience.</w:t>
      </w:r>
    </w:p>
    <w:p w14:paraId="1490F9B2">
      <w:pPr>
        <w:rPr>
          <w:rFonts w:hint="eastAsia"/>
          <w:lang w:val="en-US" w:eastAsia="zh-CN"/>
        </w:rPr>
      </w:pPr>
    </w:p>
    <w:p w14:paraId="507C9875">
      <w:pPr>
        <w:rPr>
          <w:rFonts w:hint="eastAsia"/>
          <w:lang w:val="en-US" w:eastAsia="zh-CN"/>
        </w:rPr>
      </w:pPr>
      <w:r>
        <w:rPr>
          <w:rFonts w:hint="eastAsia"/>
          <w:lang w:val="en-US" w:eastAsia="zh-CN"/>
        </w:rPr>
        <w:t>Contribution to the State of the Practice</w:t>
      </w:r>
    </w:p>
    <w:p w14:paraId="44F0FF9A">
      <w:pPr>
        <w:rPr>
          <w:rFonts w:hint="eastAsia"/>
          <w:lang w:val="en-US" w:eastAsia="zh-CN"/>
        </w:rPr>
      </w:pPr>
    </w:p>
    <w:p w14:paraId="491CBA31">
      <w:pPr>
        <w:numPr>
          <w:ilvl w:val="0"/>
          <w:numId w:val="2"/>
        </w:numPr>
        <w:rPr>
          <w:rFonts w:hint="eastAsia"/>
          <w:lang w:val="en-US" w:eastAsia="zh-CN"/>
        </w:rPr>
      </w:pPr>
      <w:r>
        <w:rPr>
          <w:rFonts w:hint="eastAsia"/>
          <w:lang w:val="en-US" w:eastAsia="zh-CN"/>
        </w:rPr>
        <w:t>Operationalizing Strategic Integration and Cost-Sharing: The study provides a blueprint for firms to transition from transactional outsourcing to deep strategic alliances. It demonstrates that manufacturers and recyclers should deploy KPI-linked cost-sharing contracts—tying financial support directly to technological performance metrics (e.g., aggregate conversion rates)—and implement joint logistics dispatch systems to fully exploit the manufacturer's reverse logistics advantage, thereby securing the economies of scale needed for back-end profitability.</w:t>
      </w:r>
    </w:p>
    <w:p w14:paraId="2D302AF1">
      <w:pPr>
        <w:rPr>
          <w:rFonts w:hint="eastAsia"/>
          <w:lang w:val="en-US" w:eastAsia="zh-CN"/>
        </w:rPr>
      </w:pPr>
    </w:p>
    <w:p w14:paraId="029A5B6B">
      <w:pPr>
        <w:numPr>
          <w:ilvl w:val="0"/>
          <w:numId w:val="2"/>
        </w:numPr>
        <w:ind w:left="0" w:leftChars="0" w:firstLine="0" w:firstLineChars="0"/>
        <w:rPr>
          <w:rFonts w:hint="eastAsia"/>
          <w:lang w:val="en-US" w:eastAsia="zh-CN"/>
        </w:rPr>
      </w:pPr>
      <w:r>
        <w:rPr>
          <w:rFonts w:hint="eastAsia"/>
          <w:lang w:val="en-US" w:eastAsia="zh-CN"/>
        </w:rPr>
        <w:t>Implementing Dynamic Carbon Risk-Sharing Mechanisms: The findings equip enterprise managers with strategies to treat carbon emissions as dynamic operational variables rather than passive compliance costs. The study recommends the integration of floating adjustment clauses in cooperative contracts to buffer compliance burdens during periods of high carbon prices, alongside the adoption of joint carbon accounting and surplus quota dividend sharing to optimize financial returns in the external carbon market.</w:t>
      </w:r>
    </w:p>
    <w:p w14:paraId="5F7D5107">
      <w:pPr>
        <w:rPr>
          <w:rFonts w:hint="eastAsia"/>
          <w:lang w:val="en-US" w:eastAsia="zh-CN"/>
        </w:rPr>
      </w:pPr>
    </w:p>
    <w:p w14:paraId="168B8A88">
      <w:pPr>
        <w:numPr>
          <w:ilvl w:val="0"/>
          <w:numId w:val="2"/>
        </w:numPr>
        <w:ind w:left="0" w:leftChars="0" w:firstLine="0" w:firstLineChars="0"/>
        <w:rPr>
          <w:rFonts w:hint="eastAsia"/>
          <w:lang w:val="en-US" w:eastAsia="zh-CN"/>
        </w:rPr>
      </w:pPr>
      <w:r>
        <w:rPr>
          <w:rFonts w:hint="eastAsia"/>
          <w:lang w:val="en-US" w:eastAsia="zh-CN"/>
        </w:rPr>
        <w:t>Designing Targeted Policy and Subsidy Thresholds: For government policymakers, this study highlights the necessity of shifting from uniform industry incentives to targeted structural interventions, such as specialized logistics</w:t>
      </w:r>
      <w:bookmarkStart w:id="0" w:name="_GoBack"/>
      <w:bookmarkEnd w:id="0"/>
      <w:r>
        <w:rPr>
          <w:rFonts w:hint="eastAsia"/>
          <w:lang w:val="en-US" w:eastAsia="zh-CN"/>
        </w:rPr>
        <w:t xml:space="preserve"> subsidies that neutralize dedicated recyclers' transportation disadvantages. Crucially, the research identifies a critical threshold effect, warning regulators that financial incentives are not "the more, the better." Subsidies must be dynamically calibrated to stimulate market activity without inadvertently disrupting the delicate financial balance required to sustain private R&amp;D alliances.</w:t>
      </w:r>
    </w:p>
    <w:sectPr>
      <w:pgSz w:w="11906" w:h="16838"/>
      <w:pgMar w:top="1440" w:right="1800" w:bottom="1440" w:left="180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AFE6CD"/>
    <w:multiLevelType w:val="singleLevel"/>
    <w:tmpl w:val="F3AFE6CD"/>
    <w:lvl w:ilvl="0" w:tentative="0">
      <w:start w:val="1"/>
      <w:numFmt w:val="decimal"/>
      <w:suff w:val="space"/>
      <w:lvlText w:val="%1."/>
      <w:lvlJc w:val="left"/>
    </w:lvl>
  </w:abstractNum>
  <w:abstractNum w:abstractNumId="1">
    <w:nsid w:val="F4F55B7D"/>
    <w:multiLevelType w:val="singleLevel"/>
    <w:tmpl w:val="F4F55B7D"/>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gutterAtTop/>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7DFA184"/>
    <w:rsid w:val="371B51C0"/>
    <w:rsid w:val="8EFF7A65"/>
    <w:rsid w:val="9FFFF2DD"/>
    <w:rsid w:val="AFDB2E8F"/>
    <w:rsid w:val="BAE77649"/>
    <w:rsid w:val="F7DFA1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73</TotalTime>
  <ScaleCrop>false</ScaleCrop>
  <LinksUpToDate>false</LinksUpToDate>
  <CharactersWithSpaces>0</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2026-05-17T01:44:00Z</dcterms:created>
  <dc:creator>Z</dc:creator>
  <cp:lastModifiedBy>Z</cp:lastModifiedBy>
  <dcterms:modified xsi:type="dcterms:W3CDTF">2026-06-04T00:13:33Z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371A809B2944579FCC3C086AB8CDC772_43</vt:lpwstr>
  </property>
</Properties>
</file>