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8B72C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Dear Editor Carlos Caldas,</w:t>
      </w:r>
    </w:p>
    <w:p w14:paraId="7CBEE3B4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12E2CBF3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We are pleased to submit our manuscript,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"</w:t>
      </w:r>
      <w:r>
        <w:rPr>
          <w:rFonts w:hint="default" w:ascii="Times New Roman Bold" w:hAnsi="Times New Roman Bold" w:cs="Times New Roman Bold"/>
          <w:b/>
          <w:bCs/>
          <w:szCs w:val="21"/>
        </w:rPr>
        <w:t>Cooperation in competition?A biform game model for waste concrete recycling considering the cap-and-trade mechanism</w:t>
      </w:r>
      <w:r>
        <w:rPr>
          <w:rFonts w:hint="eastAsia" w:ascii="Times New Roman" w:hAnsi="Times New Roman" w:cs="Times New Roman"/>
          <w:szCs w:val="21"/>
        </w:rPr>
        <w:t>"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for your consideration as a Technical Paper in the Journal of Construction Engineering and Management(JCEM).</w:t>
      </w:r>
    </w:p>
    <w:p w14:paraId="14339B0E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0BF9B8AE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This study develops a two-stage biform game model to investigate the co-opetition relationships between traditional concrete manufacturers and specialized waste concrete recyclers under the cap-and-trade mechanism.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By integrating front-end pricing competition with back-end research and development(R&amp;D)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investment sharing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cooperation</w:t>
      </w:r>
      <w:r>
        <w:rPr>
          <w:rFonts w:hint="eastAsia" w:ascii="Times New Roman" w:hAnsi="Times New Roman" w:cs="Times New Roman"/>
          <w:szCs w:val="21"/>
        </w:rPr>
        <w:t>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 xml:space="preserve">our framework captures how environmental policy and operational asymmetries jointly shape </w:t>
      </w:r>
      <w:r>
        <w:rPr>
          <w:rFonts w:hint="eastAsia" w:ascii="Times New Roman" w:hAnsi="Times New Roman" w:cs="Times New Roman"/>
          <w:szCs w:val="21"/>
          <w:lang w:val="en-US" w:eastAsia="zh-CN"/>
        </w:rPr>
        <w:t>the participants</w:t>
      </w:r>
      <w:r>
        <w:rPr>
          <w:rFonts w:hint="default" w:ascii="Times New Roman" w:hAnsi="Times New Roman" w:cs="Times New Roman"/>
          <w:szCs w:val="21"/>
          <w:lang w:val="en-US" w:eastAsia="zh-CN"/>
        </w:rPr>
        <w:t>’</w:t>
      </w:r>
      <w:r>
        <w:rPr>
          <w:rFonts w:hint="eastAsia" w:ascii="Times New Roman" w:hAnsi="Times New Roman" w:cs="Times New Roman"/>
          <w:szCs w:val="21"/>
        </w:rPr>
        <w:t xml:space="preserve"> decisions and economic outcomes.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We validate our theoretical derivations through extensive numerical simulations calibrated specifically to the practical context of China’s waste concrete recycling sector.</w:t>
      </w:r>
      <w:r>
        <w:rPr>
          <w:rFonts w:hint="default" w:ascii="Times New Roman" w:hAnsi="Times New Roman" w:cs="Times New Roman"/>
          <w:szCs w:val="21"/>
          <w:lang w:val="en-US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This study aims to answer two critical research questions(RQs):</w:t>
      </w:r>
    </w:p>
    <w:p w14:paraId="4569A31C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08E24F6E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default" w:ascii="Times New Roman Bold" w:hAnsi="Times New Roman Bold" w:cs="Times New Roman Bold"/>
          <w:b/>
          <w:bCs/>
          <w:szCs w:val="21"/>
        </w:rPr>
        <w:t>RQ1:</w:t>
      </w:r>
      <w:r>
        <w:rPr>
          <w:rFonts w:hint="default" w:ascii="Times New Roman Bold" w:hAnsi="Times New Roman Bold" w:cs="Times New Roman Bold"/>
          <w:b/>
          <w:bCs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Considering cap-and-trade mechanism,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should concrete manufacturers and recyclers engage in cooperation within the competitive environment?</w:t>
      </w:r>
    </w:p>
    <w:p w14:paraId="316984BC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default" w:ascii="Times New Roman Bold" w:hAnsi="Times New Roman Bold" w:cs="Times New Roman Bold"/>
          <w:b/>
          <w:bCs/>
          <w:szCs w:val="21"/>
        </w:rPr>
        <w:t>RQ2: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What are the impacts of the cap-and-trade mechanism on the decisions of concrete manufacturers and recyclers in waste concrete recycling?</w:t>
      </w:r>
    </w:p>
    <w:p w14:paraId="61F437BB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51E60C3D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Our contributions align closely with JCEM's aims and scope,</w:t>
      </w:r>
      <w:r>
        <w:rPr>
          <w:rFonts w:hint="default" w:ascii="Times New Roman" w:hAnsi="Times New Roman" w:cs="Times New Roman"/>
          <w:szCs w:val="21"/>
          <w:lang w:val="en-US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advancing both theoretical knowledge and practical solutions in the construction engineering and management domain across four</w:t>
      </w:r>
      <w:bookmarkStart w:id="0" w:name="_GoBack"/>
      <w:bookmarkEnd w:id="0"/>
      <w:r>
        <w:rPr>
          <w:rFonts w:hint="eastAsia" w:ascii="Times New Roman" w:hAnsi="Times New Roman" w:cs="Times New Roman"/>
          <w:szCs w:val="21"/>
        </w:rPr>
        <w:t xml:space="preserve"> areas:</w:t>
      </w:r>
    </w:p>
    <w:p w14:paraId="515F7506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6413DF26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Cs w:val="21"/>
        </w:rPr>
      </w:pPr>
      <w:r>
        <w:rPr>
          <w:rFonts w:hint="eastAsia" w:ascii="Times New Roman Bold" w:hAnsi="Times New Roman Bold" w:cs="Times New Roman Bold"/>
          <w:b/>
          <w:bCs/>
          <w:szCs w:val="21"/>
          <w:lang w:val="en-US" w:eastAsia="zh-CN"/>
        </w:rPr>
        <w:t xml:space="preserve">Establish the biform game model for waste concrete recycling to </w:t>
      </w:r>
      <w:r>
        <w:rPr>
          <w:rFonts w:hint="default" w:ascii="Times New Roman Bold" w:hAnsi="Times New Roman Bold" w:cs="Times New Roman Bold"/>
          <w:b/>
          <w:bCs/>
          <w:szCs w:val="21"/>
        </w:rPr>
        <w:t>demonstrat</w:t>
      </w:r>
      <w:r>
        <w:rPr>
          <w:rFonts w:hint="eastAsia" w:ascii="Times New Roman Bold" w:hAnsi="Times New Roman Bold" w:cs="Times New Roman Bold"/>
          <w:b/>
          <w:bCs/>
          <w:szCs w:val="21"/>
          <w:lang w:val="en-US" w:eastAsia="zh-CN"/>
        </w:rPr>
        <w:t>e</w:t>
      </w:r>
      <w:r>
        <w:rPr>
          <w:rFonts w:hint="default" w:ascii="Times New Roman Bold" w:hAnsi="Times New Roman Bold" w:cs="Times New Roman Bold"/>
          <w:b/>
          <w:bCs/>
          <w:szCs w:val="21"/>
        </w:rPr>
        <w:t xml:space="preserve"> whether concrete manufacturers and recyclers should cooperate </w:t>
      </w:r>
      <w:r>
        <w:rPr>
          <w:rFonts w:hint="eastAsia" w:ascii="Times New Roman Bold" w:hAnsi="Times New Roman Bold" w:cs="Times New Roman Bold"/>
          <w:b/>
          <w:bCs/>
          <w:szCs w:val="21"/>
          <w:lang w:val="en-US" w:eastAsia="zh-CN"/>
        </w:rPr>
        <w:t>with the</w:t>
      </w:r>
      <w:r>
        <w:rPr>
          <w:rFonts w:hint="default" w:ascii="Times New Roman Bold" w:hAnsi="Times New Roman Bold" w:cs="Times New Roman Bold"/>
          <w:b/>
          <w:bCs/>
          <w:szCs w:val="21"/>
        </w:rPr>
        <w:t xml:space="preserve"> competitive environment</w:t>
      </w:r>
      <w:r>
        <w:rPr>
          <w:rFonts w:hint="eastAsia" w:ascii="Times New Roman Bold" w:hAnsi="Times New Roman Bold" w:cs="Times New Roman Bold"/>
          <w:b/>
          <w:bCs/>
          <w:szCs w:val="21"/>
          <w:lang w:val="en-US" w:eastAsia="zh-CN"/>
        </w:rPr>
        <w:t xml:space="preserve"> </w:t>
      </w:r>
    </w:p>
    <w:p w14:paraId="596A1BBC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1139D50A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Traditional construction management research often treats collection and processing,or competition and cooperation,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as isolated stages or separate scenarios.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This study utiliz</w:t>
      </w:r>
      <w:r>
        <w:rPr>
          <w:rFonts w:hint="default" w:ascii="Times New Roman" w:hAnsi="Times New Roman" w:cs="Times New Roman"/>
          <w:szCs w:val="21"/>
          <w:lang w:val="en-US"/>
        </w:rPr>
        <w:t>es</w:t>
      </w:r>
      <w:r>
        <w:rPr>
          <w:rFonts w:hint="eastAsia" w:ascii="Times New Roman" w:hAnsi="Times New Roman" w:cs="Times New Roman"/>
          <w:szCs w:val="21"/>
        </w:rPr>
        <w:t xml:space="preserve"> biform game theory to simultaneously model front-end pricing </w:t>
      </w:r>
      <w:r>
        <w:rPr>
          <w:rFonts w:hint="default" w:ascii="Times New Roman" w:hAnsi="Times New Roman" w:cs="Times New Roman"/>
          <w:szCs w:val="21"/>
          <w:lang w:val="en-US"/>
        </w:rPr>
        <w:t>competition</w:t>
      </w:r>
      <w:r>
        <w:rPr>
          <w:rFonts w:hint="eastAsia" w:ascii="Times New Roman" w:hAnsi="Times New Roman" w:cs="Times New Roman"/>
          <w:szCs w:val="21"/>
        </w:rPr>
        <w:t xml:space="preserve"> and back-end </w:t>
      </w:r>
      <w:r>
        <w:rPr>
          <w:rFonts w:hint="default" w:ascii="Times New Roman" w:hAnsi="Times New Roman" w:cs="Times New Roman"/>
          <w:szCs w:val="21"/>
          <w:lang w:val="en-US"/>
        </w:rPr>
        <w:t>R&amp;D</w:t>
      </w:r>
      <w:r>
        <w:rPr>
          <w:rFonts w:hint="eastAsia" w:ascii="Times New Roman" w:hAnsi="Times New Roman" w:cs="Times New Roman"/>
          <w:szCs w:val="21"/>
        </w:rPr>
        <w:t xml:space="preserve"> investment </w:t>
      </w:r>
      <w:r>
        <w:rPr>
          <w:rFonts w:hint="default" w:ascii="Times New Roman" w:hAnsi="Times New Roman" w:cs="Times New Roman"/>
          <w:szCs w:val="21"/>
          <w:lang w:val="en-US"/>
        </w:rPr>
        <w:t>cooperation</w:t>
      </w:r>
      <w:r>
        <w:rPr>
          <w:rFonts w:hint="eastAsia" w:ascii="Times New Roman" w:hAnsi="Times New Roman" w:cs="Times New Roman"/>
          <w:szCs w:val="21"/>
        </w:rPr>
        <w:t>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We prove that establishing a cooperative alliance achieves a robust Pareto improvement—driving a higher conversion rate,expanding total market collection quantities,and optimizing individual profits.</w:t>
      </w:r>
    </w:p>
    <w:p w14:paraId="7818A469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4425BD8E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Cs w:val="21"/>
        </w:rPr>
      </w:pPr>
      <w:r>
        <w:rPr>
          <w:rFonts w:hint="default" w:ascii="Times New Roman Bold" w:hAnsi="Times New Roman Bold" w:cs="Times New Roman Bold"/>
          <w:b/>
          <w:bCs/>
          <w:szCs w:val="21"/>
        </w:rPr>
        <w:t>Quantifying the Buffering Capacity of Strategic Alliances Against Carbon Market Volatility</w:t>
      </w:r>
    </w:p>
    <w:p w14:paraId="755C64C4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48070619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  <w:lang w:val="en-US"/>
        </w:rPr>
        <w:t>T</w:t>
      </w:r>
      <w:r>
        <w:rPr>
          <w:rFonts w:hint="eastAsia" w:ascii="Times New Roman" w:hAnsi="Times New Roman" w:cs="Times New Roman"/>
          <w:szCs w:val="21"/>
        </w:rPr>
        <w:t>he carbon-intensive nature of concrete treatment exposes recycling enterprises to severe regulatory and financial risks</w:t>
      </w:r>
      <w:r>
        <w:rPr>
          <w:rFonts w:hint="default" w:ascii="Times New Roman" w:hAnsi="Times New Roman" w:cs="Times New Roman"/>
          <w:szCs w:val="21"/>
          <w:lang w:val="en-US"/>
        </w:rPr>
        <w:t>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Cs w:val="21"/>
          <w:lang w:val="en-US" w:eastAsia="zh-CN"/>
        </w:rPr>
        <w:t>O</w:t>
      </w:r>
      <w:r>
        <w:rPr>
          <w:rFonts w:hint="eastAsia" w:ascii="Times New Roman" w:hAnsi="Times New Roman" w:cs="Times New Roman"/>
          <w:szCs w:val="21"/>
        </w:rPr>
        <w:t>ur model theoretically demonstrate and quantify how joint R&amp;D investment cooperation functions as a vital financial buffer.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It enhances the recycler’s economic resilience against carbon price shocks,</w:t>
      </w:r>
      <w:r>
        <w:rPr>
          <w:rFonts w:hint="default" w:ascii="Times New Roman" w:hAnsi="Times New Roman" w:cs="Times New Roman"/>
          <w:szCs w:val="21"/>
          <w:lang w:val="en-US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effectively showing how firms can transform static regulatory constraints into dynamic drivers for technological innovation.</w:t>
      </w:r>
    </w:p>
    <w:p w14:paraId="3B1C9027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51192851">
      <w:pPr>
        <w:numPr>
          <w:ilvl w:val="0"/>
          <w:numId w:val="1"/>
        </w:numPr>
        <w:snapToGrid w:val="0"/>
        <w:spacing w:line="360" w:lineRule="auto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Cs w:val="21"/>
        </w:rPr>
      </w:pPr>
      <w:r>
        <w:rPr>
          <w:rFonts w:hint="default" w:ascii="Times New Roman Bold" w:hAnsi="Times New Roman Bold" w:cs="Times New Roman Bold"/>
          <w:b/>
          <w:bCs/>
          <w:szCs w:val="21"/>
        </w:rPr>
        <w:t>Providing Policy Guidance for Sustainable Ecosystems</w:t>
      </w:r>
    </w:p>
    <w:p w14:paraId="50E79CA3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791166FA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Challenging the conventional assumption that higher government funding is universally beneficial,our equilibrium analysis uncovers a critical subsidy threshold effect.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We demonstrate that excessive financial subsidies or operational transfer payments(outsourcing fees)can paradoxically destabilize joint innovation alliances.Based on these insights,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we deliver actionable guidance for practitioners and policymakers,such as implementing KPI-linked technology cost-sharing contracts and targeted structural logistics subsidies,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directly supporting ASCE's call for sustainable actions.</w:t>
      </w:r>
    </w:p>
    <w:p w14:paraId="5F08EE07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3E7073EF">
      <w:pPr>
        <w:numPr>
          <w:ilvl w:val="0"/>
          <w:numId w:val="1"/>
        </w:numPr>
        <w:snapToGrid w:val="0"/>
        <w:spacing w:line="360" w:lineRule="auto"/>
        <w:rPr>
          <w:rFonts w:hint="default" w:ascii="Times New Roman Bold" w:hAnsi="Times New Roman Bold" w:cs="Times New Roman Bold"/>
          <w:b/>
          <w:bCs/>
          <w:szCs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Cs w:val="21"/>
        </w:rPr>
        <w:t>Addressing the Unique Engineering Realities and Logistical Asymmetries of C&amp;D Waste</w:t>
      </w:r>
    </w:p>
    <w:p w14:paraId="40D472AD">
      <w:pPr>
        <w:snapToGrid w:val="0"/>
        <w:spacing w:line="360" w:lineRule="auto"/>
        <w:rPr>
          <w:rFonts w:hint="eastAsia" w:ascii="Times New Roman" w:hAnsi="Times New Roman" w:cs="Times New Roman"/>
          <w:szCs w:val="21"/>
          <w:lang w:val="en-US" w:eastAsia="zh-CN"/>
        </w:rPr>
      </w:pPr>
    </w:p>
    <w:p w14:paraId="4CB71B0D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Existing closed-loop supply chain literature predominantly focuses on high-value-density,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low-transport-friction products.In contrast,this study targets waste concrete,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which is characterized by low unit value,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massive physical volume,and stark logistical asymmetries(i.e.,the concrete manufacturer's backhaul advantage using returning delivery trucks versus the recycler's dedicated logistics).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By endogenizing these unique physical and structural constraints,our study provides a highly context-specific contribution to construction and demolition(C&amp;D)waste management.</w:t>
      </w:r>
    </w:p>
    <w:p w14:paraId="31EFBA82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0AD19027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We believe this work is highly timely and offers deep insights for project management practitioners,firm managers,and environmental policymakers reading JCEM.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The manuscript is not under review elsewhere,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has been approved by all authors,and presents no conflicts of interest.Thank you very much for considering our work.We look forward to your feedback.</w:t>
      </w:r>
    </w:p>
    <w:p w14:paraId="080B7A52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3C25B68F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Best regards</w:t>
      </w:r>
    </w:p>
    <w:p w14:paraId="0E3AAD6F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</w:p>
    <w:p w14:paraId="1D538690">
      <w:pPr>
        <w:snapToGrid w:val="0"/>
        <w:spacing w:line="360" w:lineRule="auto"/>
        <w:rPr>
          <w:rFonts w:hint="eastAsia"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Zhe Zhang</w:t>
      </w:r>
    </w:p>
    <w:p w14:paraId="5B289680">
      <w:pPr>
        <w:snapToGrid w:val="0"/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Tongji University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B8D262"/>
    <w:multiLevelType w:val="singleLevel"/>
    <w:tmpl w:val="3FB8D2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gutterAtTop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F54ADD"/>
    <w:rsid w:val="2AF54ADD"/>
    <w:rsid w:val="371B51C0"/>
    <w:rsid w:val="3FC3BDF9"/>
    <w:rsid w:val="F95E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2026-06-04T04:17:00Z</dcterms:created>
  <dc:creator>Z</dc:creator>
  <cp:lastModifiedBy>Z</cp:lastModifiedBy>
  <dcterms:modified xsi:type="dcterms:W3CDTF">2026-06-03T21:35:09Z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31F1A88B303BB138621B206AE529125E_41</vt:lpwstr>
  </property>
</Properties>
</file>