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8B72C">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Dear Editor Young Hoon Kwak, Ph.D.,</w:t>
      </w:r>
    </w:p>
    <w:p w14:paraId="7CBEE3B4">
      <w:pPr>
        <w:snapToGrid w:val="0"/>
        <w:spacing w:line="360" w:lineRule="auto"/>
        <w:rPr>
          <w:rFonts w:hint="eastAsia" w:ascii="Times New Roman" w:hAnsi="Times New Roman" w:cs="Times New Roman"/>
          <w:szCs w:val="21"/>
        </w:rPr>
      </w:pPr>
    </w:p>
    <w:p w14:paraId="12E2CBF3">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We are pleased to submit our manuscript,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t>
      </w:r>
      <w:r>
        <w:rPr>
          <w:rFonts w:hint="default" w:ascii="Times New Roman Bold" w:hAnsi="Times New Roman Bold" w:cs="Times New Roman Bold"/>
          <w:b/>
          <w:bCs/>
          <w:szCs w:val="21"/>
        </w:rPr>
        <w:t>Cooperation in competition?A biform game model for waste concrete recycling considering the cap-and-trade mechanism</w:t>
      </w:r>
      <w:r>
        <w:rPr>
          <w:rFonts w:hint="eastAsia" w:ascii="Times New Roman" w:hAnsi="Times New Roman" w:cs="Times New Roman"/>
          <w:szCs w:val="21"/>
        </w:rPr>
        <w: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 xml:space="preserve">for your consideration as a Technical Paper in the Journal of </w:t>
      </w:r>
      <w:r>
        <w:rPr>
          <w:rFonts w:hint="eastAsia" w:ascii="Times New Roman" w:hAnsi="Times New Roman" w:cs="Times New Roman"/>
          <w:szCs w:val="21"/>
          <w:lang w:val="en-US" w:eastAsia="zh-CN"/>
        </w:rPr>
        <w:t>Management in</w:t>
      </w:r>
      <w:r>
        <w:rPr>
          <w:rFonts w:hint="eastAsia" w:ascii="Times New Roman" w:hAnsi="Times New Roman" w:cs="Times New Roman"/>
          <w:szCs w:val="21"/>
        </w:rPr>
        <w:t xml:space="preserve"> Engineering(JM</w:t>
      </w:r>
      <w:r>
        <w:rPr>
          <w:rFonts w:hint="eastAsia" w:ascii="Times New Roman" w:hAnsi="Times New Roman" w:cs="Times New Roman"/>
          <w:szCs w:val="21"/>
          <w:lang w:val="en-US" w:eastAsia="zh-CN"/>
        </w:rPr>
        <w:t>E</w:t>
      </w:r>
      <w:r>
        <w:rPr>
          <w:rFonts w:hint="eastAsia" w:ascii="Times New Roman" w:hAnsi="Times New Roman" w:cs="Times New Roman"/>
          <w:szCs w:val="21"/>
        </w:rPr>
        <w:t>).</w:t>
      </w:r>
    </w:p>
    <w:p w14:paraId="14339B0E">
      <w:pPr>
        <w:snapToGrid w:val="0"/>
        <w:spacing w:line="360" w:lineRule="auto"/>
        <w:rPr>
          <w:rFonts w:hint="eastAsia" w:ascii="Times New Roman" w:hAnsi="Times New Roman" w:cs="Times New Roman"/>
          <w:szCs w:val="21"/>
        </w:rPr>
      </w:pPr>
    </w:p>
    <w:p w14:paraId="0BF9B8AE">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This study develops a two-stage biform game model to investigate the co-opetition relationships between traditional concrete manufacturers and specialized waste concrete recyclers under the cap-and-trade mechanism.</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By integrating front-end pricing competition with back-end research and development(R&amp;D)</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investment sharing</w:t>
      </w:r>
      <w:r>
        <w:rPr>
          <w:rFonts w:hint="eastAsia" w:ascii="Times New Roman" w:hAnsi="Times New Roman" w:cs="Times New Roman"/>
          <w:szCs w:val="21"/>
          <w:lang w:val="en-US" w:eastAsia="zh-CN"/>
        </w:rPr>
        <w:t xml:space="preserve"> cooperation</w:t>
      </w:r>
      <w:r>
        <w:rPr>
          <w:rFonts w:hint="eastAsia" w:ascii="Times New Roman" w:hAnsi="Times New Roman" w:cs="Times New Roman"/>
          <w:szCs w:val="21"/>
        </w:rPr>
        <w: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 xml:space="preserve">our framework captures how environmental policy and operational asymmetries jointly shape </w:t>
      </w:r>
      <w:r>
        <w:rPr>
          <w:rFonts w:hint="eastAsia" w:ascii="Times New Roman" w:hAnsi="Times New Roman" w:cs="Times New Roman"/>
          <w:szCs w:val="21"/>
          <w:lang w:val="en-US" w:eastAsia="zh-CN"/>
        </w:rPr>
        <w:t>the participants</w:t>
      </w:r>
      <w:r>
        <w:rPr>
          <w:rFonts w:hint="default" w:ascii="Times New Roman" w:hAnsi="Times New Roman" w:cs="Times New Roman"/>
          <w:szCs w:val="21"/>
          <w:lang w:val="en-US" w:eastAsia="zh-CN"/>
        </w:rPr>
        <w:t>’</w:t>
      </w:r>
      <w:r>
        <w:rPr>
          <w:rFonts w:hint="eastAsia" w:ascii="Times New Roman" w:hAnsi="Times New Roman" w:cs="Times New Roman"/>
          <w:szCs w:val="21"/>
        </w:rPr>
        <w:t xml:space="preserve"> decisions and economic outcomes.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validate our theoretical derivations through extensive numerical simulations calibrated specifically to the practical context of China’s waste concrete recycling sector.</w:t>
      </w:r>
      <w:r>
        <w:rPr>
          <w:rFonts w:hint="default" w:ascii="Times New Roman" w:hAnsi="Times New Roman" w:cs="Times New Roman"/>
          <w:szCs w:val="21"/>
          <w:lang w:val="en-US"/>
        </w:rPr>
        <w:t xml:space="preserve"> </w:t>
      </w:r>
      <w:r>
        <w:rPr>
          <w:rFonts w:hint="eastAsia" w:ascii="Times New Roman" w:hAnsi="Times New Roman" w:cs="Times New Roman"/>
          <w:szCs w:val="21"/>
        </w:rPr>
        <w:t>This study aims to answer two critical research questions(RQs):</w:t>
      </w:r>
    </w:p>
    <w:p w14:paraId="4569A31C">
      <w:pPr>
        <w:snapToGrid w:val="0"/>
        <w:spacing w:line="360" w:lineRule="auto"/>
        <w:rPr>
          <w:rFonts w:hint="eastAsia" w:ascii="Times New Roman" w:hAnsi="Times New Roman" w:cs="Times New Roman"/>
          <w:szCs w:val="21"/>
        </w:rPr>
      </w:pPr>
    </w:p>
    <w:p w14:paraId="08E24F6E">
      <w:pPr>
        <w:snapToGrid w:val="0"/>
        <w:spacing w:line="360" w:lineRule="auto"/>
        <w:rPr>
          <w:rFonts w:hint="eastAsia" w:ascii="Times New Roman" w:hAnsi="Times New Roman" w:cs="Times New Roman"/>
          <w:szCs w:val="21"/>
        </w:rPr>
      </w:pPr>
      <w:r>
        <w:rPr>
          <w:rFonts w:hint="default" w:ascii="Times New Roman Bold" w:hAnsi="Times New Roman Bold" w:cs="Times New Roman Bold"/>
          <w:b/>
          <w:bCs/>
          <w:szCs w:val="21"/>
        </w:rPr>
        <w:t>RQ1:</w:t>
      </w:r>
      <w:r>
        <w:rPr>
          <w:rFonts w:hint="default" w:ascii="Times New Roman Bold" w:hAnsi="Times New Roman Bold" w:cs="Times New Roman Bold"/>
          <w:b/>
          <w:bCs/>
          <w:szCs w:val="21"/>
          <w:lang w:val="en-US" w:eastAsia="zh-CN"/>
        </w:rPr>
        <w:t xml:space="preserve"> </w:t>
      </w:r>
      <w:r>
        <w:rPr>
          <w:rFonts w:hint="eastAsia" w:ascii="Times New Roman" w:hAnsi="Times New Roman" w:cs="Times New Roman"/>
          <w:szCs w:val="21"/>
        </w:rPr>
        <w:t>Considering cap-and-trade mechanism,</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should concrete manufacturers and recyclers engage in cooperation within the competitive environment?</w:t>
      </w:r>
    </w:p>
    <w:p w14:paraId="316984BC">
      <w:pPr>
        <w:snapToGrid w:val="0"/>
        <w:spacing w:line="360" w:lineRule="auto"/>
        <w:rPr>
          <w:rFonts w:hint="eastAsia" w:ascii="Times New Roman" w:hAnsi="Times New Roman" w:cs="Times New Roman"/>
          <w:szCs w:val="21"/>
        </w:rPr>
      </w:pPr>
      <w:r>
        <w:rPr>
          <w:rFonts w:hint="default" w:ascii="Times New Roman Bold" w:hAnsi="Times New Roman Bold" w:cs="Times New Roman Bold"/>
          <w:b/>
          <w:bCs/>
          <w:szCs w:val="21"/>
        </w:rPr>
        <w:t>RQ2:</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What are the impacts of the cap-and-trade mechanism on the decisions of concrete manufacturers and recyclers in waste concrete recycling?</w:t>
      </w:r>
    </w:p>
    <w:p w14:paraId="61F437BB">
      <w:pPr>
        <w:snapToGrid w:val="0"/>
        <w:spacing w:line="360" w:lineRule="auto"/>
        <w:rPr>
          <w:rFonts w:hint="eastAsia" w:ascii="Times New Roman" w:hAnsi="Times New Roman" w:cs="Times New Roman"/>
          <w:szCs w:val="21"/>
        </w:rPr>
      </w:pPr>
    </w:p>
    <w:p w14:paraId="57679C8B">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We believe this manuscript strongly aligns with the Journal of Management in Engineering's aims and scope—particularly its focus on partnering, technology and innovation management, and corporate and public policy. Our study advances engineering management knowledge and practice across four key areas:</w:t>
      </w:r>
    </w:p>
    <w:p w14:paraId="515F7506">
      <w:pPr>
        <w:snapToGrid w:val="0"/>
        <w:spacing w:line="360" w:lineRule="auto"/>
        <w:rPr>
          <w:rFonts w:hint="eastAsia" w:ascii="Times New Roman" w:hAnsi="Times New Roman" w:cs="Times New Roman"/>
          <w:szCs w:val="21"/>
        </w:rPr>
      </w:pPr>
    </w:p>
    <w:p w14:paraId="6413DF26">
      <w:pPr>
        <w:numPr>
          <w:ilvl w:val="0"/>
          <w:numId w:val="1"/>
        </w:numPr>
        <w:snapToGrid w:val="0"/>
        <w:spacing w:line="360" w:lineRule="auto"/>
        <w:ind w:left="0" w:leftChars="0" w:firstLine="0" w:firstLineChars="0"/>
        <w:rPr>
          <w:rFonts w:hint="default" w:ascii="Times New Roman Bold" w:hAnsi="Times New Roman Bold" w:cs="Times New Roman Bold"/>
          <w:b/>
          <w:bCs/>
          <w:szCs w:val="21"/>
        </w:rPr>
      </w:pPr>
      <w:r>
        <w:rPr>
          <w:rFonts w:hint="eastAsia" w:ascii="Times New Roman Bold" w:hAnsi="Times New Roman Bold" w:cs="Times New Roman Bold"/>
          <w:b/>
          <w:bCs/>
          <w:szCs w:val="21"/>
          <w:lang w:val="en-US" w:eastAsia="zh-CN"/>
        </w:rPr>
        <w:t xml:space="preserve">Establish the biform game model for waste concrete recycling to </w:t>
      </w:r>
      <w:r>
        <w:rPr>
          <w:rFonts w:hint="default" w:ascii="Times New Roman Bold" w:hAnsi="Times New Roman Bold" w:cs="Times New Roman Bold"/>
          <w:b/>
          <w:bCs/>
          <w:szCs w:val="21"/>
        </w:rPr>
        <w:t>demonstrat</w:t>
      </w:r>
      <w:r>
        <w:rPr>
          <w:rFonts w:hint="eastAsia" w:ascii="Times New Roman Bold" w:hAnsi="Times New Roman Bold" w:cs="Times New Roman Bold"/>
          <w:b/>
          <w:bCs/>
          <w:szCs w:val="21"/>
          <w:lang w:val="en-US" w:eastAsia="zh-CN"/>
        </w:rPr>
        <w:t>e</w:t>
      </w:r>
      <w:r>
        <w:rPr>
          <w:rFonts w:hint="default" w:ascii="Times New Roman Bold" w:hAnsi="Times New Roman Bold" w:cs="Times New Roman Bold"/>
          <w:b/>
          <w:bCs/>
          <w:szCs w:val="21"/>
        </w:rPr>
        <w:t xml:space="preserve"> whether concrete manufacturers and recyclers should cooperate </w:t>
      </w:r>
      <w:r>
        <w:rPr>
          <w:rFonts w:hint="eastAsia" w:ascii="Times New Roman Bold" w:hAnsi="Times New Roman Bold" w:cs="Times New Roman Bold"/>
          <w:b/>
          <w:bCs/>
          <w:szCs w:val="21"/>
          <w:lang w:val="en-US" w:eastAsia="zh-CN"/>
        </w:rPr>
        <w:t>with the</w:t>
      </w:r>
      <w:r>
        <w:rPr>
          <w:rFonts w:hint="default" w:ascii="Times New Roman Bold" w:hAnsi="Times New Roman Bold" w:cs="Times New Roman Bold"/>
          <w:b/>
          <w:bCs/>
          <w:szCs w:val="21"/>
        </w:rPr>
        <w:t xml:space="preserve"> competitive environment</w:t>
      </w:r>
      <w:r>
        <w:rPr>
          <w:rFonts w:hint="eastAsia" w:ascii="Times New Roman Bold" w:hAnsi="Times New Roman Bold" w:cs="Times New Roman Bold"/>
          <w:b/>
          <w:bCs/>
          <w:szCs w:val="21"/>
          <w:lang w:val="en-US" w:eastAsia="zh-CN"/>
        </w:rPr>
        <w:t xml:space="preserve"> (Aligns with JME’s focus on: Partnering, Strategic Planning, Conflict Management, and Real-World Applications)</w:t>
      </w:r>
    </w:p>
    <w:p w14:paraId="596A1BBC">
      <w:pPr>
        <w:snapToGrid w:val="0"/>
        <w:spacing w:line="360" w:lineRule="auto"/>
        <w:rPr>
          <w:rFonts w:hint="eastAsia" w:ascii="Times New Roman" w:hAnsi="Times New Roman" w:cs="Times New Roman"/>
          <w:szCs w:val="21"/>
        </w:rPr>
      </w:pPr>
    </w:p>
    <w:p w14:paraId="1139D50A">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Traditional construction management research often treats collection and processing,or competition and cooperation,</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as isolated stages or separate scenarios.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This study utiliz</w:t>
      </w:r>
      <w:r>
        <w:rPr>
          <w:rFonts w:hint="default" w:ascii="Times New Roman" w:hAnsi="Times New Roman" w:cs="Times New Roman"/>
          <w:szCs w:val="21"/>
          <w:lang w:val="en-US"/>
        </w:rPr>
        <w:t>es</w:t>
      </w:r>
      <w:r>
        <w:rPr>
          <w:rFonts w:hint="eastAsia" w:ascii="Times New Roman" w:hAnsi="Times New Roman" w:cs="Times New Roman"/>
          <w:szCs w:val="21"/>
        </w:rPr>
        <w:t xml:space="preserve"> biform game theory to simultaneously model front-end pricing </w:t>
      </w:r>
      <w:r>
        <w:rPr>
          <w:rFonts w:hint="default" w:ascii="Times New Roman" w:hAnsi="Times New Roman" w:cs="Times New Roman"/>
          <w:szCs w:val="21"/>
          <w:lang w:val="en-US"/>
        </w:rPr>
        <w:t>competition</w:t>
      </w:r>
      <w:r>
        <w:rPr>
          <w:rFonts w:hint="eastAsia" w:ascii="Times New Roman" w:hAnsi="Times New Roman" w:cs="Times New Roman"/>
          <w:szCs w:val="21"/>
        </w:rPr>
        <w:t xml:space="preserve"> and back-end </w:t>
      </w:r>
      <w:r>
        <w:rPr>
          <w:rFonts w:hint="default" w:ascii="Times New Roman" w:hAnsi="Times New Roman" w:cs="Times New Roman"/>
          <w:szCs w:val="21"/>
          <w:lang w:val="en-US"/>
        </w:rPr>
        <w:t>R&amp;D</w:t>
      </w:r>
      <w:r>
        <w:rPr>
          <w:rFonts w:hint="eastAsia" w:ascii="Times New Roman" w:hAnsi="Times New Roman" w:cs="Times New Roman"/>
          <w:szCs w:val="21"/>
        </w:rPr>
        <w:t xml:space="preserve"> investment </w:t>
      </w:r>
      <w:r>
        <w:rPr>
          <w:rFonts w:hint="default" w:ascii="Times New Roman" w:hAnsi="Times New Roman" w:cs="Times New Roman"/>
          <w:szCs w:val="21"/>
          <w:lang w:val="en-US"/>
        </w:rPr>
        <w:t>cooperation</w:t>
      </w:r>
      <w:r>
        <w:rPr>
          <w:rFonts w:hint="eastAsia" w:ascii="Times New Roman" w:hAnsi="Times New Roman" w:cs="Times New Roman"/>
          <w:szCs w:val="21"/>
        </w:rPr>
        <w: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prove that establishing a cooperative alliance achieves a robust Pareto improvement—driving a higher conversion rate,expanding total market collection quantities,and optimizing individual profits.</w:t>
      </w:r>
    </w:p>
    <w:p w14:paraId="7818A469">
      <w:pPr>
        <w:snapToGrid w:val="0"/>
        <w:spacing w:line="360" w:lineRule="auto"/>
        <w:rPr>
          <w:rFonts w:hint="eastAsia" w:ascii="Times New Roman" w:hAnsi="Times New Roman" w:cs="Times New Roman"/>
          <w:szCs w:val="21"/>
        </w:rPr>
      </w:pPr>
    </w:p>
    <w:p w14:paraId="4425BD8E">
      <w:pPr>
        <w:numPr>
          <w:ilvl w:val="0"/>
          <w:numId w:val="1"/>
        </w:numPr>
        <w:snapToGrid w:val="0"/>
        <w:spacing w:line="360" w:lineRule="auto"/>
        <w:ind w:left="0" w:leftChars="0" w:firstLine="0" w:firstLineChars="0"/>
        <w:rPr>
          <w:rFonts w:hint="default" w:ascii="Times New Roman Bold" w:hAnsi="Times New Roman Bold" w:cs="Times New Roman Bold"/>
          <w:b/>
          <w:bCs/>
          <w:szCs w:val="21"/>
        </w:rPr>
      </w:pPr>
      <w:r>
        <w:rPr>
          <w:rFonts w:hint="default" w:ascii="Times New Roman Bold" w:hAnsi="Times New Roman Bold" w:cs="Times New Roman Bold"/>
          <w:b/>
          <w:bCs/>
          <w:szCs w:val="21"/>
        </w:rPr>
        <w:t>Quantifying the Buffering Capacity of Strategic Alliances Against Carbon Market Volatility(Aligns with JME’s focus on: Risk Management, Financial Management, Technology and Innovation Management, and Regulatory Issues)</w:t>
      </w:r>
    </w:p>
    <w:p w14:paraId="755C64C4">
      <w:pPr>
        <w:snapToGrid w:val="0"/>
        <w:spacing w:line="360" w:lineRule="auto"/>
        <w:rPr>
          <w:rFonts w:hint="eastAsia" w:ascii="Times New Roman" w:hAnsi="Times New Roman" w:cs="Times New Roman"/>
          <w:szCs w:val="21"/>
        </w:rPr>
      </w:pPr>
    </w:p>
    <w:p w14:paraId="04449780">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The carbon-intensive nature of concrete treatment exposes recycling enterprises to severe legislative risks and financial uncertainty. Our model theoretically demonstrates and quantifies how joint R&amp;D investment functions as a vital financial management buffer. It enhances the recycler’s economic resilience against carbon price shocks (risk management), effectively showing how civil engineering firms can transform static regulatory and legislative constraints into dynamic drivers for technology and innovation management.</w:t>
      </w:r>
    </w:p>
    <w:p w14:paraId="3B1C9027">
      <w:pPr>
        <w:snapToGrid w:val="0"/>
        <w:spacing w:line="360" w:lineRule="auto"/>
        <w:rPr>
          <w:rFonts w:hint="eastAsia" w:ascii="Times New Roman" w:hAnsi="Times New Roman" w:cs="Times New Roman"/>
          <w:szCs w:val="21"/>
        </w:rPr>
      </w:pPr>
    </w:p>
    <w:p w14:paraId="51192851">
      <w:pPr>
        <w:numPr>
          <w:ilvl w:val="0"/>
          <w:numId w:val="1"/>
        </w:numPr>
        <w:snapToGrid w:val="0"/>
        <w:spacing w:line="360" w:lineRule="auto"/>
        <w:ind w:left="0" w:leftChars="0" w:firstLine="0" w:firstLineChars="0"/>
        <w:rPr>
          <w:rFonts w:hint="default" w:ascii="Times New Roman Bold" w:hAnsi="Times New Roman Bold" w:cs="Times New Roman Bold"/>
          <w:b/>
          <w:bCs/>
          <w:szCs w:val="21"/>
        </w:rPr>
      </w:pPr>
      <w:r>
        <w:rPr>
          <w:rFonts w:hint="default" w:ascii="Times New Roman Bold" w:hAnsi="Times New Roman Bold" w:cs="Times New Roman Bold"/>
          <w:b/>
          <w:bCs/>
          <w:szCs w:val="21"/>
        </w:rPr>
        <w:t>Providing Policy Guidance for Sustainable Ecosystems(Aligns with JME’s focus on: Corporate and Public Policy, and the Practice of Civil Engineering)</w:t>
      </w:r>
    </w:p>
    <w:p w14:paraId="50E79CA3">
      <w:pPr>
        <w:snapToGrid w:val="0"/>
        <w:spacing w:line="360" w:lineRule="auto"/>
        <w:rPr>
          <w:rFonts w:hint="eastAsia" w:ascii="Times New Roman" w:hAnsi="Times New Roman" w:cs="Times New Roman"/>
          <w:szCs w:val="21"/>
        </w:rPr>
      </w:pPr>
    </w:p>
    <w:p w14:paraId="791166FA">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Challenging the conventional assumption that higher government funding is universally beneficial,our equilibrium analysis uncovers a critical subsidy threshold effect.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demonstrate that excessive financial subsidies or operational transfer payments(outsourcing fees)can paradoxically destabilize joint innovation alliances.Based on these insights,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deliver actionable guidance for practitioners and policymakers,such as implementing KPI-linked technology cost-sharing contracts and targeted structural logistics subsidies,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directly supporting ASCE's call for sustainable actions.</w:t>
      </w:r>
    </w:p>
    <w:p w14:paraId="5F08EE07">
      <w:pPr>
        <w:snapToGrid w:val="0"/>
        <w:spacing w:line="360" w:lineRule="auto"/>
        <w:rPr>
          <w:rFonts w:hint="eastAsia" w:ascii="Times New Roman" w:hAnsi="Times New Roman" w:cs="Times New Roman"/>
          <w:szCs w:val="21"/>
        </w:rPr>
      </w:pPr>
    </w:p>
    <w:p w14:paraId="3E7073EF">
      <w:pPr>
        <w:numPr>
          <w:ilvl w:val="0"/>
          <w:numId w:val="1"/>
        </w:numPr>
        <w:snapToGrid w:val="0"/>
        <w:spacing w:line="360" w:lineRule="auto"/>
        <w:rPr>
          <w:rFonts w:hint="default" w:ascii="Times New Roman Bold" w:hAnsi="Times New Roman Bold" w:cs="Times New Roman Bold"/>
          <w:b/>
          <w:bCs/>
          <w:szCs w:val="21"/>
          <w:lang w:val="en-US" w:eastAsia="zh-CN"/>
        </w:rPr>
      </w:pPr>
      <w:r>
        <w:rPr>
          <w:rFonts w:hint="default" w:ascii="Times New Roman Bold" w:hAnsi="Times New Roman Bold" w:cs="Times New Roman Bold"/>
          <w:b/>
          <w:bCs/>
          <w:szCs w:val="21"/>
        </w:rPr>
        <w:t>Addressing the Unique Engineering Realities and Logistical Asymmetries of C&amp;D Waste(Aligns with JME’s focus on:</w:t>
      </w:r>
      <w:bookmarkStart w:id="0" w:name="_GoBack"/>
      <w:bookmarkEnd w:id="0"/>
      <w:r>
        <w:rPr>
          <w:rFonts w:hint="default" w:ascii="Times New Roman Bold" w:hAnsi="Times New Roman Bold" w:cs="Times New Roman Bold"/>
          <w:b/>
          <w:bCs/>
          <w:szCs w:val="21"/>
        </w:rPr>
        <w:t xml:space="preserve"> the Practice of Civil Engineering)</w:t>
      </w:r>
    </w:p>
    <w:p w14:paraId="40D472AD">
      <w:pPr>
        <w:snapToGrid w:val="0"/>
        <w:spacing w:line="360" w:lineRule="auto"/>
        <w:rPr>
          <w:rFonts w:hint="eastAsia" w:ascii="Times New Roman" w:hAnsi="Times New Roman" w:cs="Times New Roman"/>
          <w:szCs w:val="21"/>
          <w:lang w:val="en-US" w:eastAsia="zh-CN"/>
        </w:rPr>
      </w:pPr>
    </w:p>
    <w:p w14:paraId="4CB71B0D">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Existing closed-loop supply chain literature predominantly focuses on high-value-density,</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low-transport-friction products.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In contrast,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this study targets waste concrete,</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which is characterized by low unit value,</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massive physical volume,and stark logistical asymmetries(i.e.,the concrete manufacturer's backhaul advantage using returning delivery trucks versus the recycler's dedicated logistics).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By endogenizing these unique physical and structural constraints,our study provides a highly context-specific contribution to construction and demolition(C&amp;D)waste management.</w:t>
      </w:r>
    </w:p>
    <w:p w14:paraId="31EFBA82">
      <w:pPr>
        <w:snapToGrid w:val="0"/>
        <w:spacing w:line="360" w:lineRule="auto"/>
        <w:rPr>
          <w:rFonts w:hint="eastAsia" w:ascii="Times New Roman" w:hAnsi="Times New Roman" w:cs="Times New Roman"/>
          <w:szCs w:val="21"/>
        </w:rPr>
      </w:pPr>
    </w:p>
    <w:p w14:paraId="0AD19027">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We believe this work is highly timely and offers deep insights for project management practitioners,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firm managers,</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and environmental policymakers reading JM</w:t>
      </w:r>
      <w:r>
        <w:rPr>
          <w:rFonts w:hint="eastAsia" w:ascii="Times New Roman" w:hAnsi="Times New Roman" w:cs="Times New Roman"/>
          <w:szCs w:val="21"/>
          <w:lang w:val="en-US" w:eastAsia="zh-CN"/>
        </w:rPr>
        <w:t>E</w:t>
      </w:r>
      <w:r>
        <w:rPr>
          <w:rFonts w:hint="eastAsia" w:ascii="Times New Roman" w:hAnsi="Times New Roman" w:cs="Times New Roman"/>
          <w:szCs w:val="21"/>
        </w:rPr>
        <w: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The manuscript is not under review elsewhere,</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has been approved by all authors,and presents no conflicts of interest.</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Thank you very much for considering our work.</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We look forward to your feedback.</w:t>
      </w:r>
    </w:p>
    <w:p w14:paraId="080B7A52">
      <w:pPr>
        <w:snapToGrid w:val="0"/>
        <w:spacing w:line="360" w:lineRule="auto"/>
        <w:rPr>
          <w:rFonts w:hint="eastAsia" w:ascii="Times New Roman" w:hAnsi="Times New Roman" w:cs="Times New Roman"/>
          <w:szCs w:val="21"/>
        </w:rPr>
      </w:pPr>
    </w:p>
    <w:p w14:paraId="3C25B68F">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Best regards</w:t>
      </w:r>
    </w:p>
    <w:p w14:paraId="0E3AAD6F">
      <w:pPr>
        <w:snapToGrid w:val="0"/>
        <w:spacing w:line="360" w:lineRule="auto"/>
        <w:rPr>
          <w:rFonts w:hint="eastAsia" w:ascii="Times New Roman" w:hAnsi="Times New Roman" w:cs="Times New Roman"/>
          <w:szCs w:val="21"/>
        </w:rPr>
      </w:pPr>
    </w:p>
    <w:p w14:paraId="1D538690">
      <w:pPr>
        <w:snapToGrid w:val="0"/>
        <w:spacing w:line="360" w:lineRule="auto"/>
        <w:rPr>
          <w:rFonts w:hint="default" w:ascii="Times New Roman" w:hAnsi="Times New Roman" w:cs="Times New Roman" w:eastAsiaTheme="minorEastAsia"/>
          <w:szCs w:val="21"/>
          <w:lang w:val="en-US" w:eastAsia="zh-CN"/>
        </w:rPr>
      </w:pPr>
      <w:r>
        <w:rPr>
          <w:rFonts w:hint="eastAsia" w:ascii="Times New Roman" w:hAnsi="Times New Roman" w:cs="Times New Roman"/>
          <w:szCs w:val="21"/>
        </w:rPr>
        <w:t>Z</w:t>
      </w:r>
      <w:r>
        <w:rPr>
          <w:rFonts w:hint="eastAsia" w:ascii="Times New Roman" w:hAnsi="Times New Roman" w:cs="Times New Roman"/>
          <w:szCs w:val="21"/>
          <w:lang w:val="en-US" w:eastAsia="zh-CN"/>
        </w:rPr>
        <w:t>ilun Wang</w:t>
      </w:r>
    </w:p>
    <w:p w14:paraId="5B289680">
      <w:pPr>
        <w:snapToGrid w:val="0"/>
        <w:spacing w:line="360" w:lineRule="auto"/>
        <w:rPr>
          <w:rFonts w:hint="eastAsia" w:ascii="Times New Roman" w:hAnsi="Times New Roman" w:cs="Times New Roman"/>
          <w:szCs w:val="21"/>
        </w:rPr>
      </w:pPr>
      <w:r>
        <w:rPr>
          <w:rFonts w:hint="eastAsia" w:ascii="Times New Roman" w:hAnsi="Times New Roman" w:cs="Times New Roman"/>
          <w:szCs w:val="21"/>
        </w:rPr>
        <w:t>Suzhou University of Science and Technology</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B8D262"/>
    <w:multiLevelType w:val="singleLevel"/>
    <w:tmpl w:val="3FB8D26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F54ADD"/>
    <w:rsid w:val="2AF54ADD"/>
    <w:rsid w:val="371B51C0"/>
    <w:rsid w:val="3F7DCC90"/>
    <w:rsid w:val="3FC3BDF9"/>
    <w:rsid w:val="5F76CD25"/>
    <w:rsid w:val="7FFE0426"/>
    <w:rsid w:val="BD677834"/>
    <w:rsid w:val="F95E7684"/>
    <w:rsid w:val="FC7BE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541</Words>
  <Characters>3846</Characters>
  <Lines>0</Lines>
  <Paragraphs>0</Paragraphs>
  <TotalTime>44</TotalTime>
  <ScaleCrop>false</ScaleCrop>
  <LinksUpToDate>false</LinksUpToDate>
  <CharactersWithSpaces>4364</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2026-06-04T20:17:00Z</dcterms:created>
  <dc:creator>Z</dc:creator>
  <cp:lastModifiedBy>Z</cp:lastModifiedBy>
  <dcterms:modified xsi:type="dcterms:W3CDTF">2026-06-12T09:50:42Z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A0B99E3D47326A6735DF2A6AC573A0CB_43</vt:lpwstr>
  </property>
</Properties>
</file>