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https://poopjournal.rocks/FucksGiven/ and our mobile application Fucks Given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https://poopjournal.rocks/FucksGiven/privacy.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