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https://poopjournal.rocks/Viewee/ and Viewee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https://poopjournal.rocks/Viewee/ and Viewee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https://poopjournal.rocks/Viewee/ website and Viewee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