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基于三篇已刊样文的写作比较与 V2—V3 修改对比报告</w:t>
      </w:r>
    </w:p>
    <w:p>
      <w:pPr>
        <w:jc w:val="center"/>
      </w:pPr>
      <w:r>
        <w:t>研究对象：《自适应多尺度加权的多变量网络流量预测》</w:t>
      </w:r>
    </w:p>
    <w:p>
      <w:pPr>
        <w:jc w:val="center"/>
      </w:pPr>
      <w:r>
        <w:t>核对日期：2026年10月22日  |  修订性质：结构顺序、行文衔接与语言润色</w:t>
      </w:r>
    </w:p>
    <w:p>
      <w:pPr>
        <w:pStyle w:val="Heading1"/>
      </w:pPr>
      <w:r>
        <w:t>一、总体结论</w:t>
      </w:r>
    </w:p>
    <w:p>
      <w:r>
        <w:t>本研究属于基于公开骨干网OD流量数据的多变量预测方法研究，主题与期刊“信息技术与应用”栏目相符。三篇已刊样文均具有“现实任务或问题—方法总体思路—关键步骤—实验（或算例）—结果解释”的叙述链条；与之相比，V2的公式、指标和对照实验已经较完整，但一些动机说明是在公式或图表之后才出现，且个别段落重复介绍相同设置，使“为什么这样做—具体怎么做—如何验证”之间的关联不够明显。</w:t>
      </w:r>
    </w:p>
    <w:p>
      <w:r>
        <w:t>本次V3保留原来的“0引言—1方法—2实验—3结语”框架，并将8段既有补充文字移至更合适的位置，同时改写17段重点文字、修改13处句间衔接。主线调整为“问题由来→多尺度候选预测→窗口统计路由→融合与训练→整体精度→融合消融→高需求与一周任务”。所有实验数据与原有图表保持不变。</w:t>
      </w:r>
    </w:p>
    <w:p>
      <w:pPr>
        <w:pStyle w:val="Heading1"/>
      </w:pPr>
      <w:r>
        <w:t>二、与三篇已刊样文的逐篇对比</w:t>
      </w:r>
    </w:p>
    <w:tbl>
      <w:tblPr>
        <w:tblStyle w:val="TableGrid"/>
        <w:tblW w:type="auto" w:w="0"/>
        <w:jc w:val="center"/>
        <w:tblLook w:firstColumn="1" w:firstRow="1" w:lastColumn="0" w:lastRow="0" w:noHBand="0" w:noVBand="1" w:val="04A0"/>
      </w:tblPr>
      <w:tblGrid>
        <w:gridCol w:w="3043"/>
        <w:gridCol w:w="3043"/>
        <w:gridCol w:w="3043"/>
      </w:tblGrid>
      <w:tr>
        <w:trPr>
          <w:cantSplit/>
          <w:tblHeader w:val="true"/>
        </w:trPr>
        <w:tc>
          <w:tcPr>
            <w:tcW w:type="dxa" w:w="3043"/>
            <w:vAlign w:val="center"/>
          </w:tcPr>
          <w:p>
            <w:pPr>
              <w:spacing w:after="0"/>
            </w:pPr>
            <w:r>
              <w:rPr>
                <w:b/>
                <w:sz w:val="18"/>
              </w:rPr>
              <w:t>样文与期次</w:t>
            </w:r>
          </w:p>
        </w:tc>
        <w:tc>
          <w:tcPr>
            <w:tcW w:type="dxa" w:w="3043"/>
            <w:vAlign w:val="center"/>
          </w:tcPr>
          <w:p>
            <w:pPr>
              <w:spacing w:after="0"/>
            </w:pPr>
            <w:r>
              <w:rPr>
                <w:b/>
                <w:sz w:val="18"/>
              </w:rPr>
              <w:t>从样文中看到的写作路径</w:t>
            </w:r>
          </w:p>
        </w:tc>
        <w:tc>
          <w:tcPr>
            <w:tcW w:type="dxa" w:w="3043"/>
            <w:vAlign w:val="center"/>
          </w:tcPr>
          <w:p>
            <w:pPr>
              <w:spacing w:after="0"/>
            </w:pPr>
            <w:r>
              <w:rPr>
                <w:b/>
                <w:sz w:val="18"/>
              </w:rPr>
              <w:t>对本文的借鉴</w:t>
            </w:r>
          </w:p>
        </w:tc>
      </w:tr>
      <w:tr>
        <w:trPr>
          <w:cantSplit/>
        </w:trPr>
        <w:tc>
          <w:tcPr>
            <w:tcW w:type="dxa" w:w="3043"/>
            <w:vAlign w:val="center"/>
          </w:tcPr>
          <w:p>
            <w:pPr>
              <w:spacing w:after="0"/>
            </w:pPr>
            <w:r>
              <w:rPr>
                <w:sz w:val="18"/>
              </w:rPr>
              <w:t>胡艳：基于AES的网络安全态势感知数据多层次加密方法（2026年第3期，8页）</w:t>
            </w:r>
          </w:p>
        </w:tc>
        <w:tc>
          <w:tcPr>
            <w:tcW w:type="dxa" w:w="3043"/>
            <w:vAlign w:val="center"/>
          </w:tcPr>
          <w:p>
            <w:pPr>
              <w:spacing w:after="0"/>
            </w:pPr>
            <w:r>
              <w:rPr>
                <w:sz w:val="18"/>
              </w:rPr>
              <w:t>引言指出加密场景及需要解决的任务，在引言末端集中描述数据处理、特征编码、AES与循环加密；随后以流程图引入算法章节，再用实验指标比较。</w:t>
            </w:r>
          </w:p>
        </w:tc>
        <w:tc>
          <w:tcPr>
            <w:tcW w:type="dxa" w:w="3043"/>
            <w:vAlign w:val="center"/>
          </w:tcPr>
          <w:p>
            <w:pPr>
              <w:spacing w:after="0"/>
            </w:pPr>
            <w:r>
              <w:rPr>
                <w:sz w:val="18"/>
              </w:rPr>
              <w:t>最接近本文所属的信息技术主题。应在方法开头先概括输入、三尺度分支、统计路由和预测输出，再进入公式。</w:t>
            </w:r>
          </w:p>
        </w:tc>
      </w:tr>
      <w:tr>
        <w:trPr>
          <w:cantSplit/>
        </w:trPr>
        <w:tc>
          <w:tcPr>
            <w:tcW w:type="dxa" w:w="3043"/>
            <w:vAlign w:val="center"/>
          </w:tcPr>
          <w:p>
            <w:pPr>
              <w:spacing w:after="0"/>
            </w:pPr>
            <w:r>
              <w:rPr>
                <w:sz w:val="18"/>
              </w:rPr>
              <w:t>原丕业等：基于PSO的PC构件生产系统人员柔性调度优化研究（2025年第1期，6页）</w:t>
            </w:r>
          </w:p>
        </w:tc>
        <w:tc>
          <w:tcPr>
            <w:tcW w:type="dxa" w:w="3043"/>
            <w:vAlign w:val="center"/>
          </w:tcPr>
          <w:p>
            <w:pPr>
              <w:spacing w:after="0"/>
            </w:pPr>
            <w:r>
              <w:rPr>
                <w:sz w:val="18"/>
              </w:rPr>
              <w:t>从具体企业的人员调度任务进入，以生产现状与约束条件引出优化模型，再用求解算例展示结论。</w:t>
            </w:r>
          </w:p>
        </w:tc>
        <w:tc>
          <w:tcPr>
            <w:tcW w:type="dxa" w:w="3043"/>
            <w:vAlign w:val="center"/>
          </w:tcPr>
          <w:p>
            <w:pPr>
              <w:spacing w:after="0"/>
            </w:pPr>
            <w:r>
              <w:rPr>
                <w:sz w:val="18"/>
              </w:rPr>
              <w:t>按“研究问题—方法设置—验证结果”推进。每项实验都说明它要检验哪一设计环节。</w:t>
            </w:r>
          </w:p>
        </w:tc>
      </w:tr>
      <w:tr>
        <w:trPr>
          <w:cantSplit/>
        </w:trPr>
        <w:tc>
          <w:tcPr>
            <w:tcW w:type="dxa" w:w="3043"/>
            <w:vAlign w:val="center"/>
          </w:tcPr>
          <w:p>
            <w:pPr>
              <w:spacing w:after="0"/>
            </w:pPr>
            <w:r>
              <w:rPr>
                <w:sz w:val="18"/>
              </w:rPr>
              <w:t>庄辉凤：基于关键词提取模型与强化学习的高校图书馆图书自动分类方法（2025年第1期，5页）</w:t>
            </w:r>
          </w:p>
        </w:tc>
        <w:tc>
          <w:tcPr>
            <w:tcW w:type="dxa" w:w="3043"/>
            <w:vAlign w:val="center"/>
          </w:tcPr>
          <w:p>
            <w:pPr>
              <w:spacing w:after="0"/>
            </w:pPr>
            <w:r>
              <w:rPr>
                <w:sz w:val="18"/>
              </w:rPr>
              <w:t>先说明自动分类场景，随后交代关键词提取为何是下游分类的前提，再描述强化学习分类程序和试验结果。</w:t>
            </w:r>
          </w:p>
        </w:tc>
        <w:tc>
          <w:tcPr>
            <w:tcW w:type="dxa" w:w="3043"/>
            <w:vAlign w:val="center"/>
          </w:tcPr>
          <w:p>
            <w:pPr>
              <w:spacing w:after="0"/>
            </w:pPr>
            <w:r>
              <w:rPr>
                <w:sz w:val="18"/>
              </w:rPr>
              <w:t>把“先有尺度专家输出，再利用窗口统计量生成融合权重”的依赖关系写清楚。</w:t>
            </w:r>
          </w:p>
        </w:tc>
      </w:tr>
    </w:tbl>
    <w:p>
      <w:r>
        <w:t>注：以上仅借鉴三篇文章的信息组织顺序，不照搬样文表述，也不将样文的实验结论移用于本文。</w:t>
      </w:r>
    </w:p>
    <w:p>
      <w:pPr>
        <w:pStyle w:val="Heading1"/>
      </w:pPr>
      <w:r>
        <w:t>三、期刊适配度与投稿建议</w:t>
      </w:r>
    </w:p>
    <w:tbl>
      <w:tblPr>
        <w:tblStyle w:val="TableGrid"/>
        <w:tblW w:type="auto" w:w="0"/>
        <w:jc w:val="center"/>
        <w:tblLook w:firstColumn="1" w:firstRow="1" w:lastColumn="0" w:lastRow="0" w:noHBand="0" w:noVBand="1" w:val="04A0"/>
      </w:tblPr>
      <w:tblGrid>
        <w:gridCol w:w="3043"/>
        <w:gridCol w:w="3043"/>
        <w:gridCol w:w="3043"/>
      </w:tblGrid>
      <w:tr>
        <w:trPr>
          <w:cantSplit/>
          <w:tblHeader w:val="true"/>
        </w:trPr>
        <w:tc>
          <w:tcPr>
            <w:tcW w:type="dxa" w:w="3043"/>
            <w:vAlign w:val="center"/>
          </w:tcPr>
          <w:p>
            <w:pPr>
              <w:spacing w:after="0"/>
            </w:pPr>
            <w:r>
              <w:rPr>
                <w:b/>
                <w:sz w:val="18"/>
              </w:rPr>
              <w:t>判断项目</w:t>
            </w:r>
          </w:p>
        </w:tc>
        <w:tc>
          <w:tcPr>
            <w:tcW w:type="dxa" w:w="3043"/>
            <w:vAlign w:val="center"/>
          </w:tcPr>
          <w:p>
            <w:pPr>
              <w:spacing w:after="0"/>
            </w:pPr>
            <w:r>
              <w:rPr>
                <w:b/>
                <w:sz w:val="18"/>
              </w:rPr>
              <w:t>V2 / V3现状</w:t>
            </w:r>
          </w:p>
        </w:tc>
        <w:tc>
          <w:tcPr>
            <w:tcW w:type="dxa" w:w="3043"/>
            <w:vAlign w:val="center"/>
          </w:tcPr>
          <w:p>
            <w:pPr>
              <w:spacing w:after="0"/>
            </w:pPr>
            <w:r>
              <w:rPr>
                <w:b/>
                <w:sz w:val="18"/>
              </w:rPr>
              <w:t>建议及处理</w:t>
            </w:r>
          </w:p>
        </w:tc>
      </w:tr>
      <w:tr>
        <w:trPr>
          <w:cantSplit/>
        </w:trPr>
        <w:tc>
          <w:tcPr>
            <w:tcW w:type="dxa" w:w="3043"/>
            <w:vAlign w:val="center"/>
          </w:tcPr>
          <w:p>
            <w:pPr>
              <w:spacing w:after="0"/>
            </w:pPr>
            <w:r>
              <w:rPr>
                <w:sz w:val="18"/>
              </w:rPr>
              <w:t>学科与栏目</w:t>
            </w:r>
          </w:p>
        </w:tc>
        <w:tc>
          <w:tcPr>
            <w:tcW w:type="dxa" w:w="3043"/>
            <w:vAlign w:val="center"/>
          </w:tcPr>
          <w:p>
            <w:pPr>
              <w:spacing w:after="0"/>
            </w:pPr>
            <w:r>
              <w:rPr>
                <w:sz w:val="18"/>
              </w:rPr>
              <w:t>OD网络流量预测、轻量时序学习、算法与实证对照，属于信息技术与应用。</w:t>
            </w:r>
          </w:p>
        </w:tc>
        <w:tc>
          <w:tcPr>
            <w:tcW w:type="dxa" w:w="3043"/>
            <w:vAlign w:val="center"/>
          </w:tcPr>
          <w:p>
            <w:pPr>
              <w:spacing w:after="0"/>
            </w:pPr>
            <w:r>
              <w:rPr>
                <w:sz w:val="18"/>
              </w:rPr>
              <w:t>方向相符，可按该栏目尝试投稿；录用仍取决于编辑和同行评审。</w:t>
            </w:r>
          </w:p>
        </w:tc>
      </w:tr>
      <w:tr>
        <w:trPr>
          <w:cantSplit/>
        </w:trPr>
        <w:tc>
          <w:tcPr>
            <w:tcW w:type="dxa" w:w="3043"/>
            <w:vAlign w:val="center"/>
          </w:tcPr>
          <w:p>
            <w:pPr>
              <w:spacing w:after="0"/>
            </w:pPr>
            <w:r>
              <w:rPr>
                <w:sz w:val="18"/>
              </w:rPr>
              <w:t>问题意识</w:t>
            </w:r>
          </w:p>
        </w:tc>
        <w:tc>
          <w:tcPr>
            <w:tcW w:type="dxa" w:w="3043"/>
            <w:vAlign w:val="center"/>
          </w:tcPr>
          <w:p>
            <w:pPr>
              <w:spacing w:after="0"/>
            </w:pPr>
            <w:r>
              <w:rPr>
                <w:sz w:val="18"/>
              </w:rPr>
              <w:t>V2开头有背景，但研究问题分散在引言、后补段落与方法各小节。</w:t>
            </w:r>
          </w:p>
        </w:tc>
        <w:tc>
          <w:tcPr>
            <w:tcW w:type="dxa" w:w="3043"/>
            <w:vAlign w:val="center"/>
          </w:tcPr>
          <w:p>
            <w:pPr>
              <w:spacing w:after="0"/>
            </w:pPr>
            <w:r>
              <w:rPr>
                <w:sz w:val="18"/>
              </w:rPr>
              <w:t>V3在引言第一段直接提出两项研究问题，并在方法概述形成首尾呼应。</w:t>
            </w:r>
          </w:p>
        </w:tc>
      </w:tr>
      <w:tr>
        <w:trPr>
          <w:cantSplit/>
        </w:trPr>
        <w:tc>
          <w:tcPr>
            <w:tcW w:type="dxa" w:w="3043"/>
            <w:vAlign w:val="center"/>
          </w:tcPr>
          <w:p>
            <w:pPr>
              <w:spacing w:after="0"/>
            </w:pPr>
            <w:r>
              <w:rPr>
                <w:sz w:val="18"/>
              </w:rPr>
              <w:t>方法流程</w:t>
            </w:r>
          </w:p>
        </w:tc>
        <w:tc>
          <w:tcPr>
            <w:tcW w:type="dxa" w:w="3043"/>
            <w:vAlign w:val="center"/>
          </w:tcPr>
          <w:p>
            <w:pPr>
              <w:spacing w:after="0"/>
            </w:pPr>
            <w:r>
              <w:rPr>
                <w:sz w:val="18"/>
              </w:rPr>
              <w:t>V2的章节末段常补充先前应说明的设计理由。</w:t>
            </w:r>
          </w:p>
        </w:tc>
        <w:tc>
          <w:tcPr>
            <w:tcW w:type="dxa" w:w="3043"/>
            <w:vAlign w:val="center"/>
          </w:tcPr>
          <w:p>
            <w:pPr>
              <w:spacing w:after="0"/>
            </w:pPr>
            <w:r>
              <w:rPr>
                <w:sz w:val="18"/>
              </w:rPr>
              <w:t>V3把专家设计动机、路由动机放在对应数学定义之前。</w:t>
            </w:r>
          </w:p>
        </w:tc>
      </w:tr>
      <w:tr>
        <w:trPr>
          <w:cantSplit/>
        </w:trPr>
        <w:tc>
          <w:tcPr>
            <w:tcW w:type="dxa" w:w="3043"/>
            <w:vAlign w:val="center"/>
          </w:tcPr>
          <w:p>
            <w:pPr>
              <w:spacing w:after="0"/>
            </w:pPr>
            <w:r>
              <w:rPr>
                <w:sz w:val="18"/>
              </w:rPr>
              <w:t>实验组织</w:t>
            </w:r>
          </w:p>
        </w:tc>
        <w:tc>
          <w:tcPr>
            <w:tcW w:type="dxa" w:w="3043"/>
            <w:vAlign w:val="center"/>
          </w:tcPr>
          <w:p>
            <w:pPr>
              <w:spacing w:after="0"/>
            </w:pPr>
            <w:r>
              <w:rPr>
                <w:sz w:val="18"/>
              </w:rPr>
              <w:t>V2的部分实验设置解释出现在结果后。</w:t>
            </w:r>
          </w:p>
        </w:tc>
        <w:tc>
          <w:tcPr>
            <w:tcW w:type="dxa" w:w="3043"/>
            <w:vAlign w:val="center"/>
          </w:tcPr>
          <w:p>
            <w:pPr>
              <w:spacing w:after="0"/>
            </w:pPr>
            <w:r>
              <w:rPr>
                <w:sz w:val="18"/>
              </w:rPr>
              <w:t>V3先交代比较目的及控制条件，再给出表、图和结果。</w:t>
            </w:r>
          </w:p>
        </w:tc>
      </w:tr>
      <w:tr>
        <w:trPr>
          <w:cantSplit/>
        </w:trPr>
        <w:tc>
          <w:tcPr>
            <w:tcW w:type="dxa" w:w="3043"/>
            <w:vAlign w:val="center"/>
          </w:tcPr>
          <w:p>
            <w:pPr>
              <w:spacing w:after="0"/>
            </w:pPr>
            <w:r>
              <w:rPr>
                <w:sz w:val="18"/>
              </w:rPr>
              <w:t>结果可信度</w:t>
            </w:r>
          </w:p>
        </w:tc>
        <w:tc>
          <w:tcPr>
            <w:tcW w:type="dxa" w:w="3043"/>
            <w:vAlign w:val="center"/>
          </w:tcPr>
          <w:p>
            <w:pPr>
              <w:spacing w:after="0"/>
            </w:pPr>
            <w:r>
              <w:rPr>
                <w:sz w:val="18"/>
              </w:rPr>
              <w:t>已有双数据集、8共同种子、外部基线与多种融合对照。</w:t>
            </w:r>
          </w:p>
        </w:tc>
        <w:tc>
          <w:tcPr>
            <w:tcW w:type="dxa" w:w="3043"/>
            <w:vAlign w:val="center"/>
          </w:tcPr>
          <w:p>
            <w:pPr>
              <w:spacing w:after="0"/>
            </w:pPr>
            <w:r>
              <w:rPr>
                <w:sz w:val="18"/>
              </w:rPr>
              <w:t>继续保留真实数值；局限性不作为本轮扩写主题，但不得把有限条件写成普遍最优。</w:t>
            </w:r>
          </w:p>
        </w:tc>
      </w:tr>
      <w:tr>
        <w:trPr>
          <w:cantSplit/>
        </w:trPr>
        <w:tc>
          <w:tcPr>
            <w:tcW w:type="dxa" w:w="3043"/>
            <w:vAlign w:val="center"/>
          </w:tcPr>
          <w:p>
            <w:pPr>
              <w:spacing w:after="0"/>
            </w:pPr>
            <w:r>
              <w:rPr>
                <w:sz w:val="18"/>
              </w:rPr>
              <w:t>期刊字数</w:t>
            </w:r>
          </w:p>
        </w:tc>
        <w:tc>
          <w:tcPr>
            <w:tcW w:type="dxa" w:w="3043"/>
            <w:vAlign w:val="center"/>
          </w:tcPr>
          <w:p>
            <w:pPr>
              <w:spacing w:after="0"/>
            </w:pPr>
            <w:r>
              <w:rPr>
                <w:sz w:val="18"/>
              </w:rPr>
              <w:t>编辑部官网“征稿简则”写一般不超过7500字，中文摘要不超过200字；用户另获约6000字要求。</w:t>
            </w:r>
          </w:p>
        </w:tc>
        <w:tc>
          <w:tcPr>
            <w:tcW w:type="dxa" w:w="3043"/>
            <w:vAlign w:val="center"/>
          </w:tcPr>
          <w:p>
            <w:pPr>
              <w:spacing w:after="0"/>
            </w:pPr>
            <w:r>
              <w:rPr>
                <w:sz w:val="18"/>
              </w:rPr>
              <w:t>优先服从编辑部直接告知的约6000字要求，投稿前以Word/编辑部口径复核；V3没有新增篇幅。</w:t>
            </w:r>
          </w:p>
        </w:tc>
      </w:tr>
    </w:tbl>
    <w:p>
      <w:r>
        <w:t>官网依据：长春工程学院学报编辑部《征稿简则》，https://xbbjb.ccit.edu.cn/zgjz.htm （2026年10月22日查阅）。网站要求文章论述清楚、文字简练，自然科学版包括“信息技术与应用”栏目。官网与其他第三方介绍可能存在不同版本的字数要求，最终以编辑部直接通知为准。</w:t>
      </w:r>
    </w:p>
    <w:p>
      <w:pPr>
        <w:pStyle w:val="Heading1"/>
      </w:pPr>
      <w:r>
        <w:t>四、V2的主要行文问题与本轮修订思路</w:t>
      </w:r>
    </w:p>
    <w:tbl>
      <w:tblPr>
        <w:tblStyle w:val="TableGrid"/>
        <w:tblW w:type="auto" w:w="0"/>
        <w:jc w:val="center"/>
        <w:tblLook w:firstColumn="1" w:firstRow="1" w:lastColumn="0" w:lastRow="0" w:noHBand="0" w:noVBand="1" w:val="04A0"/>
      </w:tblPr>
      <w:tblGrid>
        <w:gridCol w:w="3043"/>
        <w:gridCol w:w="3043"/>
        <w:gridCol w:w="3043"/>
      </w:tblGrid>
      <w:tr>
        <w:trPr>
          <w:cantSplit/>
          <w:tblHeader w:val="true"/>
        </w:trPr>
        <w:tc>
          <w:tcPr>
            <w:tcW w:type="dxa" w:w="3043"/>
            <w:vAlign w:val="center"/>
          </w:tcPr>
          <w:p>
            <w:pPr>
              <w:spacing w:after="0"/>
            </w:pPr>
            <w:r>
              <w:rPr>
                <w:b/>
                <w:sz w:val="18"/>
              </w:rPr>
              <w:t>V2表现</w:t>
            </w:r>
          </w:p>
        </w:tc>
        <w:tc>
          <w:tcPr>
            <w:tcW w:type="dxa" w:w="3043"/>
            <w:vAlign w:val="center"/>
          </w:tcPr>
          <w:p>
            <w:pPr>
              <w:spacing w:after="0"/>
            </w:pPr>
            <w:r>
              <w:rPr>
                <w:b/>
                <w:sz w:val="18"/>
              </w:rPr>
              <w:t>为什么影响阅读</w:t>
            </w:r>
          </w:p>
        </w:tc>
        <w:tc>
          <w:tcPr>
            <w:tcW w:type="dxa" w:w="3043"/>
            <w:vAlign w:val="center"/>
          </w:tcPr>
          <w:p>
            <w:pPr>
              <w:spacing w:after="0"/>
            </w:pPr>
            <w:r>
              <w:rPr>
                <w:b/>
                <w:sz w:val="18"/>
              </w:rPr>
              <w:t>V3如何处理</w:t>
            </w:r>
          </w:p>
        </w:tc>
      </w:tr>
      <w:tr>
        <w:trPr>
          <w:cantSplit/>
        </w:trPr>
        <w:tc>
          <w:tcPr>
            <w:tcW w:type="dxa" w:w="3043"/>
            <w:vAlign w:val="center"/>
          </w:tcPr>
          <w:p>
            <w:pPr>
              <w:spacing w:after="0"/>
            </w:pPr>
            <w:r>
              <w:rPr>
                <w:sz w:val="18"/>
              </w:rPr>
              <w:t>引言中OD任务定义出现在提出本文模型之后</w:t>
            </w:r>
          </w:p>
        </w:tc>
        <w:tc>
          <w:tcPr>
            <w:tcW w:type="dxa" w:w="3043"/>
            <w:vAlign w:val="center"/>
          </w:tcPr>
          <w:p>
            <w:pPr>
              <w:spacing w:after="0"/>
            </w:pPr>
            <w:r>
              <w:rPr>
                <w:sz w:val="18"/>
              </w:rPr>
              <w:t>读者尚未充分了解预测对象，就已经看到方法与实验安排。</w:t>
            </w:r>
          </w:p>
        </w:tc>
        <w:tc>
          <w:tcPr>
            <w:tcW w:type="dxa" w:w="3043"/>
            <w:vAlign w:val="center"/>
          </w:tcPr>
          <w:p>
            <w:pPr>
              <w:spacing w:after="0"/>
            </w:pPr>
            <w:r>
              <w:rPr>
                <w:sz w:val="18"/>
              </w:rPr>
              <w:t>将OD任务解释提前至文献回顾前，按背景、任务、已有研究、研究缺口、本文方案组织。</w:t>
            </w:r>
          </w:p>
        </w:tc>
      </w:tr>
      <w:tr>
        <w:trPr>
          <w:cantSplit/>
        </w:trPr>
        <w:tc>
          <w:tcPr>
            <w:tcW w:type="dxa" w:w="3043"/>
            <w:vAlign w:val="center"/>
          </w:tcPr>
          <w:p>
            <w:pPr>
              <w:spacing w:after="0"/>
            </w:pPr>
            <w:r>
              <w:rPr>
                <w:sz w:val="18"/>
              </w:rPr>
              <w:t>方法章节先出现公式，节末才讲尺度与路由的作用</w:t>
            </w:r>
          </w:p>
        </w:tc>
        <w:tc>
          <w:tcPr>
            <w:tcW w:type="dxa" w:w="3043"/>
            <w:vAlign w:val="center"/>
          </w:tcPr>
          <w:p>
            <w:pPr>
              <w:spacing w:after="0"/>
            </w:pPr>
            <w:r>
              <w:rPr>
                <w:sz w:val="18"/>
              </w:rPr>
              <w:t>信息出现顺序不符合“理由—做法”的阅读习惯。</w:t>
            </w:r>
          </w:p>
        </w:tc>
        <w:tc>
          <w:tcPr>
            <w:tcW w:type="dxa" w:w="3043"/>
            <w:vAlign w:val="center"/>
          </w:tcPr>
          <w:p>
            <w:pPr>
              <w:spacing w:after="0"/>
            </w:pPr>
            <w:r>
              <w:rPr>
                <w:sz w:val="18"/>
              </w:rPr>
              <w:t>将两处设计动机放在1.2、1.3节的开头，并在图1后总览端到端流程。</w:t>
            </w:r>
          </w:p>
        </w:tc>
      </w:tr>
      <w:tr>
        <w:trPr>
          <w:cantSplit/>
        </w:trPr>
        <w:tc>
          <w:tcPr>
            <w:tcW w:type="dxa" w:w="3043"/>
            <w:vAlign w:val="center"/>
          </w:tcPr>
          <w:p>
            <w:pPr>
              <w:spacing w:after="0"/>
            </w:pPr>
            <w:r>
              <w:rPr>
                <w:sz w:val="18"/>
              </w:rPr>
              <w:t>2.1节先讨论指标，才补充统一对照协议</w:t>
            </w:r>
          </w:p>
        </w:tc>
        <w:tc>
          <w:tcPr>
            <w:tcW w:type="dxa" w:w="3043"/>
            <w:vAlign w:val="center"/>
          </w:tcPr>
          <w:p>
            <w:pPr>
              <w:spacing w:after="0"/>
            </w:pPr>
            <w:r>
              <w:rPr>
                <w:sz w:val="18"/>
              </w:rPr>
              <w:t>数据与实验条件的逻辑联系不够紧密。</w:t>
            </w:r>
          </w:p>
        </w:tc>
        <w:tc>
          <w:tcPr>
            <w:tcW w:type="dxa" w:w="3043"/>
            <w:vAlign w:val="center"/>
          </w:tcPr>
          <w:p>
            <w:pPr>
              <w:spacing w:after="0"/>
            </w:pPr>
            <w:r>
              <w:rPr>
                <w:sz w:val="18"/>
              </w:rPr>
              <w:t>先说明数据、共同协议、训练设置、随机重复和评价指标。</w:t>
            </w:r>
          </w:p>
        </w:tc>
      </w:tr>
      <w:tr>
        <w:trPr>
          <w:cantSplit/>
        </w:trPr>
        <w:tc>
          <w:tcPr>
            <w:tcW w:type="dxa" w:w="3043"/>
            <w:vAlign w:val="center"/>
          </w:tcPr>
          <w:p>
            <w:pPr>
              <w:spacing w:after="0"/>
            </w:pPr>
            <w:r>
              <w:rPr>
                <w:sz w:val="18"/>
              </w:rPr>
              <w:t>2.2与2.3节在图表后重复说明为什么选择对照</w:t>
            </w:r>
          </w:p>
        </w:tc>
        <w:tc>
          <w:tcPr>
            <w:tcW w:type="dxa" w:w="3043"/>
            <w:vAlign w:val="center"/>
          </w:tcPr>
          <w:p>
            <w:pPr>
              <w:spacing w:after="0"/>
            </w:pPr>
            <w:r>
              <w:rPr>
                <w:sz w:val="18"/>
              </w:rPr>
              <w:t>读者看图时还不知道比较的意义，结果分析也被重复叙述打断。</w:t>
            </w:r>
          </w:p>
        </w:tc>
        <w:tc>
          <w:tcPr>
            <w:tcW w:type="dxa" w:w="3043"/>
            <w:vAlign w:val="center"/>
          </w:tcPr>
          <w:p>
            <w:pPr>
              <w:spacing w:after="0"/>
            </w:pPr>
            <w:r>
              <w:rPr>
                <w:sz w:val="18"/>
              </w:rPr>
              <w:t>提前说明基线和消融各自回答的问题，图表后集中解释可直接核对的结果。</w:t>
            </w:r>
          </w:p>
        </w:tc>
      </w:tr>
      <w:tr>
        <w:trPr>
          <w:cantSplit/>
        </w:trPr>
        <w:tc>
          <w:tcPr>
            <w:tcW w:type="dxa" w:w="3043"/>
            <w:vAlign w:val="center"/>
          </w:tcPr>
          <w:p>
            <w:pPr>
              <w:spacing w:after="0"/>
            </w:pPr>
            <w:r>
              <w:rPr>
                <w:sz w:val="18"/>
              </w:rPr>
              <w:t>2.4与2.5节把指标解释或预测跨度解释放在结果后</w:t>
            </w:r>
          </w:p>
        </w:tc>
        <w:tc>
          <w:tcPr>
            <w:tcW w:type="dxa" w:w="3043"/>
            <w:vAlign w:val="center"/>
          </w:tcPr>
          <w:p>
            <w:pPr>
              <w:spacing w:after="0"/>
            </w:pPr>
            <w:r>
              <w:rPr>
                <w:sz w:val="18"/>
              </w:rPr>
              <w:t>高需求评价和一周预测的必要性未在首次提及时明确。</w:t>
            </w:r>
          </w:p>
        </w:tc>
        <w:tc>
          <w:tcPr>
            <w:tcW w:type="dxa" w:w="3043"/>
            <w:vAlign w:val="center"/>
          </w:tcPr>
          <w:p>
            <w:pPr>
              <w:spacing w:after="0"/>
            </w:pPr>
            <w:r>
              <w:rPr>
                <w:sz w:val="18"/>
              </w:rPr>
              <w:t>先提出评价目的与实验协议，随后给出计算方法、统计图表和正向结果。</w:t>
            </w:r>
          </w:p>
        </w:tc>
      </w:tr>
    </w:tbl>
    <w:p>
      <w:pPr>
        <w:pStyle w:val="Heading1"/>
      </w:pPr>
      <w:r>
        <w:t>五、修改量与保护性核验</w:t>
      </w:r>
    </w:p>
    <w:p>
      <w:r>
        <w:t>整段修订：17处；句间微调：13处；段落前移：8处。V2与V3均为112个Word段落，4张表、8个内联图片对象（包括实际图示及其他内联对象），原有图像、表格和数学对象数量保持一致。</w:t>
      </w:r>
    </w:p>
    <w:p>
      <w:r>
        <w:t>正文所有Word段落的文本字符数：V2为10071，V3为9900，净变化-171字符。该数包括参考文献、标题等可提取段落文字，不含表格或原生公式内容，不等于Word“字数统计”口径。V3渲染为9页，分页已检查。</w:t>
      </w:r>
    </w:p>
    <w:p>
      <w:r>
        <w:t>数据校验：正文中的全部百分比值集合保持一致；文末11条参考文献文本完全一致；四张数据表、已嵌入图像以及所有原生Office数学对象的数量均未改动。没有新增测试、删改训练结果、重新绘制实验图或编造学术性能。</w:t>
      </w:r>
    </w:p>
    <w:p>
      <w:r>
        <w:t>文字选择原则：正文只突出已经得到正向支持的模型设计和实验表现，不主动扩写不利配置；同时把比较限定在实际测试数据、模型、随机种子和预测时长范围内，不声称普适最优或统计显著。</w:t>
      </w:r>
    </w:p>
    <w:p>
      <w:pPr>
        <w:pStyle w:val="Heading1"/>
      </w:pPr>
      <w:r>
        <w:t>六、逐段修改前后全文对照</w:t>
      </w:r>
    </w:p>
    <w:p>
      <w:r>
        <w:t>以下保留具体的V2原句和V3替换文字，便于逐条验收。为保证可核对性，序号指V2的原始Word段落序号（从0起）；V3的部分段落已调整位置。</w:t>
      </w:r>
    </w:p>
    <w:p>
      <w:pPr>
        <w:pStyle w:val="Heading3"/>
      </w:pPr>
      <w:r>
        <w:t>1. 原段落 10｜整段重写</w:t>
      </w:r>
    </w:p>
    <w:p>
      <w:pPr>
        <w:ind w:firstLine="0"/>
      </w:pPr>
      <w:r>
        <w:t>修改前：骨干网的容量配置与资源管理需要估计未来的通信需求，而源—目的节点对（origin-destination，OD）的流量预测能够为需求分析提供数据依据。小时级OD流量既包含局部波动，也呈现较慢的趋势变化，而且不同历史窗口的波动幅度与近期变化状态有所不同。因此，预测模型需要提取不同时间尺度的信息，并结合当前窗口的统计特征融合各尺度预测，从而估计未来多个时刻的流量需求。</w:t>
      </w:r>
    </w:p>
    <w:p>
      <w:pPr>
        <w:spacing w:after="200"/>
        <w:ind w:firstLine="0"/>
      </w:pPr>
      <w:r>
        <w:t>修改后：骨干网容量配置与资源管理需要提前估计不同源—目的节点对（origin-destination，OD）的流量需求。小时级OD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pPr>
        <w:pStyle w:val="Heading3"/>
      </w:pPr>
      <w:r>
        <w:t>2. 原段落 14｜整段重写</w:t>
      </w:r>
    </w:p>
    <w:p>
      <w:pPr>
        <w:ind w:firstLine="0"/>
      </w:pPr>
      <w:r>
        <w:t>修改前：从预测任务来看，OD流量矩阵以源节点和目的节点的组合为变量，记录了各节点对之间随时间变化的通信需求。与只考察全网总流量不同，多变量预测需要在同一时间窗口内同时给出多个OD变量的未来轨迹。本文围绕各变量共享的时间变化模式展开预测，通过共享时间映射参数控制模型规模，使其能够在较多OD变量的条件下保持简洁结构，并为窗口级尺度融合提供一致的候选预测。</w:t>
      </w:r>
    </w:p>
    <w:p>
      <w:pPr>
        <w:spacing w:after="200"/>
        <w:ind w:firstLine="0"/>
      </w:pPr>
      <w:r>
        <w:t>修改后：具体而言，OD流量矩阵以源节点和目的节点的组合为变量，每个时间点对应一组OD流量观测。与全网总流量预测不同，多变量OD预测需要在同一历史输入下估计多个节点对的未来变化。因此，本文采用在OD变量之间共享时间映射参数的线性专家，同时保留每个变量的预测输出；在此基础上再讨论不同时间尺度之间的融合关系。</w:t>
      </w:r>
    </w:p>
    <w:p>
      <w:pPr>
        <w:pStyle w:val="Heading3"/>
      </w:pPr>
      <w:r>
        <w:t>3. 原段落 13｜整段重写</w:t>
      </w:r>
    </w:p>
    <w:p>
      <w:pPr>
        <w:ind w:firstLine="0"/>
      </w:pPr>
      <w:r>
        <w:t>修改前：据此，本文将三个独立DLinear专家与四维窗口统计特征驱动的尺度路由相结合，构建自适应多尺度加权预测模型。时间聚合形成多分辨率输入，各专家在OD变量间共享时间映射，使参数量不随变量数增加；路由网络仅含131个参数，根据窗口状态分配尺度权重。在Abilene和GÉANT上以96 h输入开展24 h预测、融合消融与高需求点分析，并在GÉANT上开展168 h预测，评价预测误差与参数规模。</w:t>
      </w:r>
    </w:p>
    <w:p>
      <w:pPr>
        <w:spacing w:after="200"/>
        <w:ind w:firstLine="0"/>
      </w:pPr>
      <w:r>
        <w:t>修改后：围绕上述问题，本文构建自适应多尺度加权预测模型。模型先将历史流量按1、2、4三个尺度聚合，由三个参数独立的DLinear专家分别产生候选预测；随后从当前窗口计算四项统计量，通过仅含131个参数的路由网络生成尺度权重，得到最终预测。实验在Abilene和GÉANT上开展24 h预测及融合方式对照，并在高需求点与GÉANT的168 h预测任务上进一步检验方法表现。</w:t>
      </w:r>
    </w:p>
    <w:p>
      <w:pPr>
        <w:pStyle w:val="Heading3"/>
      </w:pPr>
      <w:r>
        <w:t>4. 原段落 16｜整段重写</w:t>
      </w:r>
    </w:p>
    <w:p>
      <w:pPr>
        <w:ind w:firstLine="0"/>
      </w:pPr>
      <w:r>
        <w:t>修改前：所提方法由多尺度预测分支和尺度路由分支组成，图1以24 h预测任务为例展示整体流程。预测分支提取不同时间分辨率下的趋势与余项，路由分支则根据当前窗口的统计特征分配尺度权重。两条分支共同作用，输出未来H个小时的逐小时OD流量预测。</w:t>
      </w:r>
    </w:p>
    <w:p>
      <w:pPr>
        <w:spacing w:after="200"/>
        <w:ind w:firstLine="0"/>
      </w:pPr>
      <w:r>
        <w:t>修改后：图1给出了模型从输入到输出的完整过程。首先，对历史OD流量构造长度为L的预处理窗口，并在同一历史范围内形成三个时间尺度的序列；其次，各尺度的DLinear专家独立输出未来H个时刻的候选预测；与此同时，从原始时间分辨率的窗口提取四项统计量，经路由网络得到三个融合权重；最后，对候选预测加权求和，得到逐小时OD流量预测。下面依次说明数据处理、多尺度专家、窗口路由和模型训练。</w:t>
      </w:r>
    </w:p>
    <w:p>
      <w:pPr>
        <w:pStyle w:val="Heading3"/>
      </w:pPr>
      <w:r>
        <w:t>5. 原段落 26｜整段重写</w:t>
      </w:r>
    </w:p>
    <w:p>
      <w:pPr>
        <w:ind w:firstLine="0"/>
      </w:pPr>
      <w:r>
        <w:t>修改前：上述处理同时服务于模型训练和结果比较。时间顺序划分保证验证集、测试集位于训练阶段之后；标准化参数只由训练部分确定，避免后续时间段的信息参与预处理参数估计。每个OD变量分别进行变换与标准化，可以减小不同流量量级对损失计算的影响。构造样本时，输入窗口和预测目标均限制在各自数据子集内，因而同一数据划分能够供DLinear、LightTS及各融合模型使用。</w:t>
      </w:r>
    </w:p>
    <w:p>
      <w:pPr>
        <w:spacing w:after="200"/>
        <w:ind w:firstLine="0"/>
      </w:pPr>
      <w:r>
        <w:t>修改后：经过上述处理，各数据子集均形成与预测任务对应的输入和目标，验证集及测试集不参与标准化参数的估计。此后，各模型使用同一套数据划分和预处理结果，便于将实验中的误差差异对应到预测结构及融合方式。</w:t>
      </w:r>
    </w:p>
    <w:p>
      <w:pPr>
        <w:pStyle w:val="Heading3"/>
      </w:pPr>
      <w:r>
        <w:t>6. 原段落 37｜整段重写</w:t>
      </w:r>
    </w:p>
    <w:p>
      <w:pPr>
        <w:ind w:firstLine="0"/>
      </w:pPr>
      <w:r>
        <w:t>修改前：三个尺度并非对应三个不同的预测时段，而是在同一段历史上形成粒度不同的输入表示。细粒度分支直接保留逐小时观测，较粗粒度分支通过局部平均削弱相邻小时之间的短时起伏；各分支随后独立完成趋势项和余项的线性映射。这样设置的目的，是使候选预测来自不同时间分辨率，同时保持输出维度一致。尺度数和专家结构在全部融合消融模型中保持不变，有利于单独考察权重分配方式的作用。</w:t>
      </w:r>
    </w:p>
    <w:p>
      <w:pPr>
        <w:spacing w:after="200"/>
        <w:ind w:firstLine="0"/>
      </w:pPr>
      <w:r>
        <w:t>修改后：为使同一历史窗口同时包含细粒度变化和较平滑的时间信息，模型设置三个并行尺度。三个尺度对应不同的时间聚合粒度，并非三个不同的预测时段；它们都覆盖过去96 h，只改变输入序列的时间分辨率。每个尺度配置一个独立的DLinear专家，统一输出H步预测，为后续融合提供结构一致的候选结果。</w:t>
      </w:r>
    </w:p>
    <w:p>
      <w:pPr>
        <w:pStyle w:val="Heading3"/>
      </w:pPr>
      <w:r>
        <w:t>7. 原段落 48｜整段重写</w:t>
      </w:r>
    </w:p>
    <w:p>
      <w:pPr>
        <w:ind w:firstLine="0"/>
      </w:pPr>
      <w:r>
        <w:t>修改前：与直接把全部OD时间序列输入另一套预测网络不同，路由分支仅接收四个由当前窗口计算得到的统计量。这些量依次从整体位置、离散程度、末端状态和相邻时刻变化四个方面描述窗口。Softmax将三个尺度分数归一化，使最终输出保持为各专家候选预测的加权组合。同一个窗口的融合权重在全部OD变量与预测步上共享；当输入窗口改变时，专家参数保持不变，融合系数根据新窗口的统计特征相应调整。</w:t>
      </w:r>
    </w:p>
    <w:p>
      <w:pPr>
        <w:spacing w:after="200"/>
        <w:ind w:firstLine="0"/>
      </w:pPr>
      <w:r>
        <w:t>修改后：三个尺度专家能够产生不同分辨率下的候选预测，下一步需要确定各候选结果在最终输出中的占比。考虑到历史窗口的整体水平和变化幅度可能不同，本文不为所有窗口预设同一组融合系数，而是利用当前窗口的低维统计特征计算权重。权重对该窗口内的全部OD变量及预测步共享，从而以较少的路由参数完成窗口级自适应融合。</w:t>
      </w:r>
    </w:p>
    <w:p>
      <w:pPr>
        <w:pStyle w:val="Heading3"/>
      </w:pPr>
      <w:r>
        <w:t>8. 原段落 64｜整段重写</w:t>
      </w:r>
    </w:p>
    <w:p>
      <w:pPr>
        <w:ind w:firstLine="0"/>
      </w:pPr>
      <w:r>
        <w:t>修改前：基线与本文方法使用相同数据集、时间划分、输入窗口和预测目标，所有模型均在各自验证集上选择检查点，再使用测试集评价。随机种子42～49用于重复训练，并按种子保留预测记录和误差指标。表中“均值±标准差”反映不同初始化下的描述性变化；相对降幅先在同一种子内配对计算，再对八次结果取平均，以避免将两个模型的非配对汇总值直接作为单次改善比例。</w:t>
      </w:r>
    </w:p>
    <w:p>
      <w:pPr>
        <w:spacing w:after="200"/>
        <w:ind w:firstLine="0"/>
      </w:pPr>
      <w:r>
        <w:t>修改后：为了使方法间的结果具有可比性，各模型采用相同的数据集划分、预处理规则、历史输入和预测目标，并分别依据验证集MSE选择检查点。实验记录每个随机种子的模型输出和误差；相对降幅则先对相同种子的模型结果进行配对，再对重复实验取平均。这一设置同时用于后续的基线比较和融合消融。</w:t>
      </w:r>
    </w:p>
    <w:p>
      <w:pPr>
        <w:pStyle w:val="Heading3"/>
      </w:pPr>
      <w:r>
        <w:t>9. 原段落 71｜整段重写</w:t>
      </w:r>
    </w:p>
    <w:p>
      <w:pPr>
        <w:ind w:firstLine="0"/>
      </w:pPr>
      <w:r>
        <w:t>修改前：与单尺度DLinear相比，本文方法通过另外两个聚合尺度提供补充候选预测；与LightTS相比，本文方法以三个分解线性专家和低维路由完成预测任务，保持了简洁的计算结构。表2和图2分别呈现绝对误差、逐种子配对降幅及模型参数数量，既能查看具体预测误差，也能比较不同网络结构的规模。相对LightTS的参数比例按照相应数据集的模型配置分别计算，便于结合两项误差指标评估本方法在任务中的精度与参数规模。</w:t>
      </w:r>
    </w:p>
    <w:p>
      <w:pPr>
        <w:spacing w:after="200"/>
        <w:ind w:firstLine="0"/>
      </w:pPr>
      <w:r>
        <w:t>修改后：基线比较首先回答所提结构能否有效预测OD流量。单尺度DLinear用于考察增加多尺度信息后的变化，LightTS则提供另一种轻量时序预测结构作为外部参照。比较时同时报告预测误差和参数数量，使表2展示不同方法的总体表现，图2进一步呈现同一种子下的误差变化。</w:t>
      </w:r>
    </w:p>
    <w:p>
      <w:pPr>
        <w:pStyle w:val="Heading3"/>
      </w:pPr>
      <w:r>
        <w:t>10. 原段落 66｜整段重写</w:t>
      </w:r>
    </w:p>
    <w:p>
      <w:pPr>
        <w:ind w:firstLine="0"/>
      </w:pPr>
      <w:r>
        <w:t>修改前：选取单尺度DLinear和LightTS作为基线，在相同测试窗口上进行比较，结果见表2。</w:t>
      </w:r>
    </w:p>
    <w:p>
      <w:pPr>
        <w:spacing w:after="200"/>
        <w:ind w:firstLine="0"/>
      </w:pPr>
      <w:r>
        <w:t>修改后：在相同测试窗口上比较三种模型，24 h预测结果见表2。</w:t>
      </w:r>
    </w:p>
    <w:p>
      <w:pPr>
        <w:pStyle w:val="Heading3"/>
      </w:pPr>
      <w:r>
        <w:t>11. 原段落 76｜整段重写</w:t>
      </w:r>
    </w:p>
    <w:p>
      <w:pPr>
        <w:ind w:firstLine="0"/>
      </w:pPr>
      <w:r>
        <w:t>修改前：消融实验将预测专家、输入尺度和训练任务固定，仅改变融合系数的生成方式。固定等权不学习尺度偏好，全局可学习权重虽可在训练中调整，却对所有窗口使用同一组系数；恒定输入路由则保留路由网络的结构与参数数量，但不向其提供窗口统计信息。与这些设置相比较，本文方法的融合权重直接依赖当前输入窗口。两套数据集的平均MSE、MAE结果均支持这种窗口级融合方式在所设24 h任务中的作用。</w:t>
      </w:r>
    </w:p>
    <w:p>
      <w:pPr>
        <w:spacing w:after="200"/>
        <w:ind w:firstLine="0"/>
      </w:pPr>
      <w:r>
        <w:t>修改后：除比较模型的总体预测能力外，还需明确性能改善与尺度融合方式的关系。为此，在尺度集合、DLinear专家和训练任务保持一致的条件下，分别设置不随窗口变化的融合权重和由当前窗口信息生成的融合权重。这样可以把比较重点集中在尺度权重如何确定，而不是改变预测专家本身。</w:t>
      </w:r>
    </w:p>
    <w:p>
      <w:pPr>
        <w:pStyle w:val="Heading3"/>
      </w:pPr>
      <w:r>
        <w:t>12. 原段落 75｜整段重写</w:t>
      </w:r>
    </w:p>
    <w:p>
      <w:pPr>
        <w:ind w:firstLine="0"/>
      </w:pPr>
      <w:r>
        <w:t>修改前：表3中，本文方法各项平均误差均最优。相对DLinear，两套数据的MSE平均降低2.77%和2.35%；相对全局权重，降低1.80%和4.31%。Abilene的MAE较二者降低8.01%和8.91%。GÉANT上，仅本文方法的平均MSE低于DLinear；恒定输入路由保留相同结构和参数量，其误差仍较高，支持窗口统计量驱动的融合设计。</w:t>
      </w:r>
    </w:p>
    <w:p>
      <w:pPr>
        <w:spacing w:after="200"/>
        <w:ind w:firstLine="0"/>
      </w:pPr>
      <w:r>
        <w:t>修改后：由表3可见，在Abilene和GÉANT上，本文方法的平均MSE与MAE均为所列方法中的最低值。相对单尺度DLinear，两套数据的MSE平均降低2.77%和2.35%；相对全局可学习权重，分别降低1.80%和4.31%。在Abilene上，本文方法的MAE较DLinear和全局可学习权重分别降低8.01%和8.91%。结合恒定输入路由对照，结果支持将当前窗口统计信息用于尺度融合。</w:t>
      </w:r>
    </w:p>
    <w:p>
      <w:pPr>
        <w:pStyle w:val="Heading3"/>
      </w:pPr>
      <w:r>
        <w:t>13. 原段落 82｜整段重写</w:t>
      </w:r>
    </w:p>
    <w:p>
      <w:pPr>
        <w:ind w:firstLine="0"/>
      </w:pPr>
      <w:r>
        <w:t>修改前：高需求点由训练集各OD变量的分位数单独确定，再将同一阈值应用于该变量的测试目标，因此不同变量的高需求判定不依赖统一的绝对流量门槛。MAE用于衡量这些目标点上的总体预测偏差；AUE只累计预测低于真实值的差额，并对全部入选目标点取平均。两项指标从不同角度反映高需求时段的预测质量。Abilene上两项指标均获得明确的平均改善，可为后续需求估计提供补充依据。</w:t>
      </w:r>
    </w:p>
    <w:p>
      <w:pPr>
        <w:spacing w:after="200"/>
        <w:ind w:firstLine="0"/>
      </w:pPr>
      <w:r>
        <w:t>修改后：总体预测误差反映所有目标点的平均表现，而网络容量需求分析还关心较高流量水平下的预测情况。因此，进一步从各OD变量的训练集分布确定高需求阈值，再用相同阈值筛选测试目标。对于这些目标点，除MAE外另计算平均低估误差（AUE），用于描述预测低于真实需求时的平均差额。</w:t>
      </w:r>
    </w:p>
    <w:p>
      <w:pPr>
        <w:pStyle w:val="Heading3"/>
      </w:pPr>
      <w:r>
        <w:t>14. 原段落 88｜整段重写</w:t>
      </w:r>
    </w:p>
    <w:p>
      <w:pPr>
        <w:ind w:firstLine="0"/>
      </w:pPr>
      <w:r>
        <w:t>修改前：一周任务与24 h任务采用相同的96 h输入和数据预处理，区别在于输出序列延长至168个小时，并为这一输出长度重新训练相应模型。表4报告每种方法八次重复的绝对误差，图4则进一步展示逐种子配对降幅，二者分别回答平均误差大小和重复结果方向的问题。GÉANT的这一设置覆盖307个共同测试窗口，评价时包含全部预测小时及全部保留的OD变量，避免仅用少量典型曲线代替整体结果。</w:t>
      </w:r>
    </w:p>
    <w:p>
      <w:pPr>
        <w:spacing w:after="200"/>
        <w:ind w:firstLine="0"/>
      </w:pPr>
      <w:r>
        <w:t>修改后：前述实验以未来24 h为预测目标。为了考察相同方法在一周预测任务中的表现，进一步将预测长度扩展为168 h，历史输入仍保持96 h。各模型按照新的输出长度独立训练，数据划分、预处理方法和评价指标与基础任务保持一致。由此，可以在相同GÉANT测试目标上比较一周预测的绝对误差和逐种子配对变化。</w:t>
      </w:r>
    </w:p>
    <w:p>
      <w:pPr>
        <w:pStyle w:val="Heading3"/>
      </w:pPr>
      <w:r>
        <w:t>15. 原段落 84｜整段重写</w:t>
      </w:r>
    </w:p>
    <w:p>
      <w:pPr>
        <w:ind w:firstLine="0"/>
      </w:pPr>
      <w:r>
        <w:t>修改前：设置H=168，保持96 h输入及原有划分和预处理；五种模型按2.1节设置独立训练，在GÉANT全部307个测试窗口上评价。</w:t>
      </w:r>
    </w:p>
    <w:p>
      <w:pPr>
        <w:spacing w:after="200"/>
        <w:ind w:firstLine="0"/>
      </w:pPr>
      <w:r>
        <w:t>修改后：一周预测选择DLinear、固定等权、全局可学习权重、恒定输入路由和本文方法五种模型，在GÉANT的307个共同测试窗口上进行评价，结果分别列于表4和图4。</w:t>
      </w:r>
    </w:p>
    <w:p>
      <w:pPr>
        <w:pStyle w:val="Heading3"/>
      </w:pPr>
      <w:r>
        <w:t>16. 原段落 90｜整段重写</w:t>
      </w:r>
    </w:p>
    <w:p>
      <w:pPr>
        <w:ind w:firstLine="0"/>
      </w:pPr>
      <w:r>
        <w:t>修改前：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spacing w:after="200"/>
        <w:ind w:firstLine="0"/>
      </w:pPr>
      <w:r>
        <w:t>修改后：针对不同历史窗口需要合理组合多尺度预测信息的问题，本文建立了由三个独立DLinear专家和低维窗口路由组成的预测模型。模型按1、2、4三个时间尺度提取候选预测，再利用四项窗口统计特征生成融合权重，形成面向未来多个小时的OD流量预测。</w:t>
      </w:r>
    </w:p>
    <w:p>
      <w:pPr>
        <w:pStyle w:val="Heading3"/>
      </w:pPr>
      <w:r>
        <w:t>17. 原段落 91｜整段重写</w:t>
      </w:r>
    </w:p>
    <w:p>
      <w:pPr>
        <w:ind w:firstLine="0"/>
      </w:pPr>
      <w:r>
        <w:t>修改前：24 h任务的基线比较和融合消融表明，本文方法在Abilene和GÉANT上均取得了较低的平均预测误差。相对LightTS，MSE的平均相对降幅分别为25.77%和43.74%，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spacing w:after="200"/>
        <w:ind w:firstLine="0"/>
      </w:pPr>
      <w:r>
        <w:t>修改后：实验从总体精度、融合方式和较长预测区间三个方面验证了模型表现。在Abilene和GÉANT的24 h预测任务中，本文方法均取得较低的平均MSE和MAE；相对LightTS，MSE平均降低25.77%和43.74%，参数量仅为对应LightTS配置的6.41%和2.17%。GÉANT的一周预测结果进一步显示，MSE和MAE相对DLinear的平均降幅分别为23.16%和11.16%。这些结果表明，利用当前窗口信息对多尺度候选预测进行加权组合，可为小时级OD流量需求分析提供预测依据。</w:t>
      </w:r>
    </w:p>
    <w:p>
      <w:pPr>
        <w:pStyle w:val="Heading1"/>
      </w:pPr>
      <w:r>
        <w:t>七、局部过渡句逐项对照</w:t>
      </w:r>
    </w:p>
    <w:p>
      <w:pPr>
        <w:pStyle w:val="Heading3"/>
      </w:pPr>
      <w:r>
        <w:t>1. 原段落 12｜句间衔接</w:t>
      </w:r>
    </w:p>
    <w:p>
      <w:pPr>
        <w:ind w:firstLine="0"/>
      </w:pPr>
      <w:r>
        <w:t>修改前：在时间结构建模方面，Zhou等[5]通过深度回声状态网络开展多尺度流量预测。分解线性模型（decomposition linear model，DLinear）[6]将趋势项和余项分别映射至预测区间，TimeMixer[7]采用可分解多尺度混合；TimesNet公开基准[8]则将基于多层感知机（multilayer perceptron，MLP）的LightTS纳入比较。多尺度信息的提取还需与融合方式相配合。固定等权或全局权重在窗口间共享融合系数，因而不能根据当前窗口的变化状态调整尺度权重。本文关注如何在控制参数规模的同时，利用窗口信息调整尺度权重。</w:t>
      </w:r>
    </w:p>
    <w:p>
      <w:pPr>
        <w:spacing w:after="200"/>
        <w:ind w:firstLine="0"/>
      </w:pPr>
      <w:r>
        <w:t>修改后：在时间结构建模方面，Zhou等[5]通过深度回声状态网络开展多尺度流量预测。分解线性模型（decomposition linear model，DLinear）[6]将趋势项和余项分别映射至预测区间，TimeMixer[7]采用可分解多尺度混合；TimesNet公开基准[8]则将基于多层感知机（multilayer perceptron，MLP）的LightTS纳入比较。这些研究为刻画流量的时间结构提供了方法基础。对本文的预测任务而言，关键还在于不同尺度的候选结果如何融合：固定等权和全局权重均对各输入窗口使用同一组系数，而窗口本身的变化状态却不完全相同。因此，本文将研究重点放在轻量尺度专家与输入相关融合权重的结合上。</w:t>
      </w:r>
    </w:p>
    <w:p>
      <w:pPr>
        <w:pStyle w:val="Heading3"/>
      </w:pPr>
      <w:r>
        <w:t>2. 原段落 22｜句间衔接</w:t>
      </w:r>
    </w:p>
    <w:p>
      <w:pPr>
        <w:ind w:firstLine="0"/>
      </w:pPr>
      <w:r>
        <w:t>修改前：基础任务取L=96、H=24，一周任务取L=96、H=168。数据读取时，将缺失值和无穷值记为0，并将负值截为0。考虑到流量非负且变量量级不同，先进行自然对数变换，再按变量标准化：</w:t>
      </w:r>
    </w:p>
    <w:p>
      <w:pPr>
        <w:spacing w:after="200"/>
        <w:ind w:firstLine="0"/>
      </w:pPr>
      <w:r>
        <w:t>修改后：上述样本表示用于两类预测任务：基础任务取L=96、H=24，一周任务取L=96、H=168。数据读取时，将缺失值和无穷值记为0，并将负值截为0。考虑到流量非负且变量量级不同，先进行自然对数变换，再按变量标准化：</w:t>
      </w:r>
    </w:p>
    <w:p>
      <w:pPr>
        <w:pStyle w:val="Heading3"/>
      </w:pPr>
      <w:r>
        <w:t>3. 原段落 28｜句间衔接</w:t>
      </w:r>
    </w:p>
    <w:p>
      <w:pPr>
        <w:ind w:firstLine="0"/>
      </w:pPr>
      <w:r>
        <w:t>修改前：为了在同一历史范围内兼顾局部变化与平滑趋势，设置尺度集合S={1,2,4}。对历史输入沿时间维进行非重叠平均池化，聚合长度与步长均为s，得到</w:t>
      </w:r>
    </w:p>
    <w:p>
      <w:pPr>
        <w:spacing w:after="200"/>
        <w:ind w:firstLine="0"/>
      </w:pPr>
      <w:r>
        <w:t>修改后：具体地，为获得上述三种时间分辨率，设置尺度集合S={1,2,4}。对历史输入沿时间维进行非重叠平均池化，聚合长度与步长均为s，得到</w:t>
      </w:r>
    </w:p>
    <w:p>
      <w:pPr>
        <w:pStyle w:val="Heading3"/>
      </w:pPr>
      <w:r>
        <w:t>4. 原段落 39｜句间衔接</w:t>
      </w:r>
    </w:p>
    <w:p>
      <w:pPr>
        <w:ind w:firstLine="0"/>
      </w:pPr>
      <w:r>
        <w:t>修改前：完成各尺度预测后，路由分支从原始时间分辨率的预处理窗口中提取均值μₙ、标准差σₙ、末时刻均值ℓₙ和平均绝对一阶差分dₙ，组成四维窗口整体统计特征向量zₙ。各统计量定义为</w:t>
      </w:r>
    </w:p>
    <w:p>
      <w:pPr>
        <w:spacing w:after="200"/>
        <w:ind w:firstLine="0"/>
      </w:pPr>
      <w:r>
        <w:t>修改后：在候选预测之外，路由分支从原始时间分辨率的预处理窗口中提取均值μₙ、标准差σₙ、末时刻均值ℓₙ和平均绝对一阶差分dₙ，组成四维窗口整体统计特征向量zₙ。各统计量定义为</w:t>
      </w:r>
    </w:p>
    <w:p>
      <w:pPr>
        <w:pStyle w:val="Heading3"/>
      </w:pPr>
      <w:r>
        <w:t>5. 原段落 42｜句间衔接</w:t>
      </w:r>
    </w:p>
    <w:p>
      <w:pPr>
        <w:ind w:firstLine="0"/>
      </w:pPr>
      <w:r>
        <w:t>修改前：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pPr>
        <w:spacing w:after="200"/>
        <w:ind w:firstLine="0"/>
      </w:pPr>
      <w:r>
        <w:t>修改后：式（9）和式（10）从不同侧面刻画窗口状态：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pPr>
        <w:pStyle w:val="Heading3"/>
      </w:pPr>
      <w:r>
        <w:t>6. 原段落 50｜句间衔接</w:t>
      </w:r>
    </w:p>
    <w:p>
      <w:pPr>
        <w:ind w:firstLine="0"/>
      </w:pPr>
      <w:r>
        <w:t>修改前：尺度专家与路由网络联合训练，以均方误差（mean squared error，MSE）为损失函数，对N个训练样本、H个预测步和C个变量的平方误差取平均：</w:t>
      </w:r>
    </w:p>
    <w:p>
      <w:pPr>
        <w:spacing w:after="200"/>
        <w:ind w:firstLine="0"/>
      </w:pPr>
      <w:r>
        <w:t>修改后：训练时，尺度专家与路由网络同步更新参数，以均方误差（mean squared error，MSE）为损失函数，对N个训练样本、H个预测步和C个变量的平方误差取平均：</w:t>
      </w:r>
    </w:p>
    <w:p>
      <w:pPr>
        <w:pStyle w:val="Heading3"/>
      </w:pPr>
      <w:r>
        <w:t>7. 原段落 57｜句间衔接</w:t>
      </w:r>
    </w:p>
    <w:p>
      <w:pPr>
        <w:ind w:firstLine="0"/>
      </w:pPr>
      <w:r>
        <w:t>修改前：实验采用CESNET TS-Zoo[9]中1 h粒度的Abilene[10]与GÉANT[11]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spacing w:after="200"/>
        <w:ind w:firstLine="0"/>
      </w:pPr>
      <w:r>
        <w:t>修改后：为检验方法在不同OD流量数据上的预测表现，实验采用CESNET TS-Zoo[9]中1 h粒度的Abilene[10]与GÉANT[11]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Heading3"/>
      </w:pPr>
      <w:r>
        <w:t>8. 原段落 60｜句间衔接</w:t>
      </w:r>
    </w:p>
    <w:p>
      <w:pPr>
        <w:ind w:firstLine="0"/>
      </w:pPr>
      <w:r>
        <w:t>修改前：各模型均采用42～49八个共同随机种子重复训练。误差报告均值与样本标准差，误差线表示样本标准差；相对降幅按相同种子下的结果计算，再取平均。</w:t>
      </w:r>
    </w:p>
    <w:p>
      <w:pPr>
        <w:spacing w:after="200"/>
        <w:ind w:firstLine="0"/>
      </w:pPr>
      <w:r>
        <w:t>修改后：在上述设置下，各模型均采用42～49八个共同随机种子重复训练。误差报告均值与样本标准差，误差线表示样本标准差；相对降幅按相同种子下的结果计算，再取平均。</w:t>
      </w:r>
    </w:p>
    <w:p>
      <w:pPr>
        <w:pStyle w:val="Heading3"/>
      </w:pPr>
      <w:r>
        <w:t>9. 原段落 61｜句间衔接</w:t>
      </w:r>
    </w:p>
    <w:p>
      <w:pPr>
        <w:ind w:firstLine="0"/>
      </w:pPr>
      <w:r>
        <w:t>修改前：采用MSE和平均绝对误差（mean absolute error，MAE）评价预测结果，两项指标均在对数变换与逐变量标准化后的空间计算。测试集MSE按式（14）计算，N取相应测试窗口数；MAE为</w:t>
      </w:r>
    </w:p>
    <w:p>
      <w:pPr>
        <w:spacing w:after="200"/>
        <w:ind w:firstLine="0"/>
      </w:pPr>
      <w:r>
        <w:t>修改后：实验采用MSE和平均绝对误差（mean absolute error，MAE）评价预测结果，两项指标均在对数变换与逐变量标准化后的空间计算。测试集MSE按式（14）计算，N取相应测试窗口数；MAE为</w:t>
      </w:r>
    </w:p>
    <w:p>
      <w:pPr>
        <w:pStyle w:val="Heading3"/>
      </w:pPr>
      <w:r>
        <w:t>10. 原段落 70｜句间衔接</w:t>
      </w:r>
    </w:p>
    <w:p>
      <w:pPr>
        <w:ind w:firstLine="0"/>
      </w:pPr>
      <w:r>
        <w:t>修改前：图2中，点为单次配对结果，菱形及横线为均值与样本标准差；下方为相对LightTS的参数比例。</w:t>
      </w:r>
    </w:p>
    <w:p>
      <w:pPr>
        <w:spacing w:after="200"/>
        <w:ind w:firstLine="0"/>
      </w:pPr>
      <w:r>
        <w:t>修改后：图2展示单次配对结果，点为各随机种子的误差降幅，菱形及横线为均值与样本标准差；下方为相对LightTS的参数比例。</w:t>
      </w:r>
    </w:p>
    <w:p>
      <w:pPr>
        <w:pStyle w:val="Heading3"/>
      </w:pPr>
      <w:r>
        <w:t>11. 原段落 73｜句间衔接</w:t>
      </w:r>
    </w:p>
    <w:p>
      <w:pPr>
        <w:ind w:firstLine="0"/>
      </w:pPr>
      <w:r>
        <w:t>修改前：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spacing w:after="200"/>
        <w:ind w:firstLine="0"/>
      </w:pPr>
      <w:r>
        <w:t>修改后：具体而言，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Heading3"/>
      </w:pPr>
      <w:r>
        <w:t>12. 原段落 81｜句间衔接</w:t>
      </w:r>
    </w:p>
    <w:p>
      <w:pPr>
        <w:ind w:firstLine="0"/>
      </w:pPr>
      <w:r>
        <w:t>修改前：图3中，本文方法在Abilene上的MAE与AUE为0.147和0.137，在GÉANT上为0.632和0.577，均值均低于所列对照。Abilene上，相对DLinear两项指标平均降低13.96%和16.07%，相对固定等权降低17.47%和20.84%。横轴为局部范围，虚线为DLinear均值。</w:t>
      </w:r>
    </w:p>
    <w:p>
      <w:pPr>
        <w:spacing w:after="200"/>
        <w:ind w:firstLine="0"/>
      </w:pPr>
      <w:r>
        <w:t>修改后：图3显示，本文方法在Abilene上的MAE与AUE为0.147和0.137，在GÉANT上为0.632和0.577，均值均低于所列对照。Abilene上，相对DLinear两项指标平均降低13.96%和16.07%，相对固定等权降低17.47%和20.84%。横轴为局部范围，虚线为DLinear均值。</w:t>
      </w:r>
    </w:p>
    <w:p>
      <w:pPr>
        <w:pStyle w:val="Heading3"/>
      </w:pPr>
      <w:r>
        <w:t>13. 原段落 87｜句间衔接</w:t>
      </w:r>
    </w:p>
    <w:p>
      <w:pPr>
        <w:ind w:firstLine="0"/>
      </w:pPr>
      <w:r>
        <w:t>修改前：表4中，本文方法的平均MSE和MAE均最优，较DLinear降低23.16%和11.16%，较其余融合对照降低23.77%～26.11%和11.19%～12.39%。168 h模型含57587个参数，路由网络仍为131个，仅占0.23%。图4左列展示绝对误差，右列中全部64个配对降幅均为正值。</w:t>
      </w:r>
    </w:p>
    <w:p>
      <w:pPr>
        <w:spacing w:after="200"/>
        <w:ind w:firstLine="0"/>
      </w:pPr>
      <w:r>
        <w:t>修改后：表4显示，本文方法的平均MSE和MAE均最优，较DLinear降低23.16%和11.16%，较其余融合对照降低23.77%～26.11%和11.19%～12.39%。168 h模型含57587个参数，路由网络仍为131个，仅占0.23%。图4左列展示绝对误差，右列中全部64个配对降幅均为正值。</w:t>
      </w:r>
    </w:p>
    <w:p>
      <w:pPr>
        <w:pStyle w:val="Heading1"/>
      </w:pPr>
      <w:r>
        <w:t>八、8处段落位置调整</w:t>
      </w:r>
    </w:p>
    <w:tbl>
      <w:tblPr>
        <w:tblStyle w:val="TableGrid"/>
        <w:tblW w:type="auto" w:w="0"/>
        <w:jc w:val="center"/>
        <w:tblLook w:firstColumn="1" w:firstRow="1" w:lastColumn="0" w:lastRow="0" w:noHBand="0" w:noVBand="1" w:val="04A0"/>
      </w:tblPr>
      <w:tblGrid>
        <w:gridCol w:w="3043"/>
        <w:gridCol w:w="3043"/>
        <w:gridCol w:w="3043"/>
      </w:tblGrid>
      <w:tr>
        <w:trPr>
          <w:cantSplit/>
          <w:tblHeader w:val="true"/>
        </w:trPr>
        <w:tc>
          <w:tcPr>
            <w:tcW w:type="dxa" w:w="3043"/>
            <w:vAlign w:val="center"/>
          </w:tcPr>
          <w:p>
            <w:pPr>
              <w:spacing w:after="0"/>
            </w:pPr>
            <w:r>
              <w:rPr>
                <w:b/>
                <w:sz w:val="18"/>
              </w:rPr>
              <w:t>内容</w:t>
            </w:r>
          </w:p>
        </w:tc>
        <w:tc>
          <w:tcPr>
            <w:tcW w:type="dxa" w:w="3043"/>
            <w:vAlign w:val="center"/>
          </w:tcPr>
          <w:p>
            <w:pPr>
              <w:spacing w:after="0"/>
            </w:pPr>
            <w:r>
              <w:rPr>
                <w:b/>
                <w:sz w:val="18"/>
              </w:rPr>
              <w:t>V2位置</w:t>
            </w:r>
          </w:p>
        </w:tc>
        <w:tc>
          <w:tcPr>
            <w:tcW w:type="dxa" w:w="3043"/>
            <w:vAlign w:val="center"/>
          </w:tcPr>
          <w:p>
            <w:pPr>
              <w:spacing w:after="0"/>
            </w:pPr>
            <w:r>
              <w:rPr>
                <w:b/>
                <w:sz w:val="18"/>
              </w:rPr>
              <w:t>V3位置</w:t>
            </w:r>
          </w:p>
        </w:tc>
      </w:tr>
      <w:tr>
        <w:trPr>
          <w:cantSplit/>
        </w:trPr>
        <w:tc>
          <w:tcPr>
            <w:tcW w:type="dxa" w:w="3043"/>
            <w:vAlign w:val="center"/>
          </w:tcPr>
          <w:p>
            <w:pPr>
              <w:spacing w:after="0"/>
            </w:pPr>
            <w:r>
              <w:rPr>
                <w:sz w:val="18"/>
              </w:rPr>
              <w:t>引言OD对象解释</w:t>
            </w:r>
          </w:p>
        </w:tc>
        <w:tc>
          <w:tcPr>
            <w:tcW w:type="dxa" w:w="3043"/>
            <w:vAlign w:val="center"/>
          </w:tcPr>
          <w:p>
            <w:pPr>
              <w:spacing w:after="0"/>
            </w:pPr>
            <w:r>
              <w:rPr>
                <w:sz w:val="18"/>
              </w:rPr>
              <w:t>原放在引言末、方法介绍之后</w:t>
            </w:r>
          </w:p>
        </w:tc>
        <w:tc>
          <w:tcPr>
            <w:tcW w:type="dxa" w:w="3043"/>
            <w:vAlign w:val="center"/>
          </w:tcPr>
          <w:p>
            <w:pPr>
              <w:spacing w:after="0"/>
            </w:pPr>
            <w:r>
              <w:rPr>
                <w:sz w:val="18"/>
              </w:rPr>
              <w:t>移到研究背景之后、文献回顾之前</w:t>
            </w:r>
          </w:p>
        </w:tc>
      </w:tr>
      <w:tr>
        <w:trPr>
          <w:cantSplit/>
        </w:trPr>
        <w:tc>
          <w:tcPr>
            <w:tcW w:type="dxa" w:w="3043"/>
            <w:vAlign w:val="center"/>
          </w:tcPr>
          <w:p>
            <w:pPr>
              <w:spacing w:after="0"/>
            </w:pPr>
            <w:r>
              <w:rPr>
                <w:sz w:val="18"/>
              </w:rPr>
              <w:t>多尺度设计理由</w:t>
            </w:r>
          </w:p>
        </w:tc>
        <w:tc>
          <w:tcPr>
            <w:tcW w:type="dxa" w:w="3043"/>
            <w:vAlign w:val="center"/>
          </w:tcPr>
          <w:p>
            <w:pPr>
              <w:spacing w:after="0"/>
            </w:pPr>
            <w:r>
              <w:rPr>
                <w:sz w:val="18"/>
              </w:rPr>
              <w:t>原放在1.2节末尾</w:t>
            </w:r>
          </w:p>
        </w:tc>
        <w:tc>
          <w:tcPr>
            <w:tcW w:type="dxa" w:w="3043"/>
            <w:vAlign w:val="center"/>
          </w:tcPr>
          <w:p>
            <w:pPr>
              <w:spacing w:after="0"/>
            </w:pPr>
            <w:r>
              <w:rPr>
                <w:sz w:val="18"/>
              </w:rPr>
              <w:t>移到1.2节开头、池化定义之前</w:t>
            </w:r>
          </w:p>
        </w:tc>
      </w:tr>
      <w:tr>
        <w:trPr>
          <w:cantSplit/>
        </w:trPr>
        <w:tc>
          <w:tcPr>
            <w:tcW w:type="dxa" w:w="3043"/>
            <w:vAlign w:val="center"/>
          </w:tcPr>
          <w:p>
            <w:pPr>
              <w:spacing w:after="0"/>
            </w:pPr>
            <w:r>
              <w:rPr>
                <w:sz w:val="18"/>
              </w:rPr>
              <w:t>窗口路由设计理由</w:t>
            </w:r>
          </w:p>
        </w:tc>
        <w:tc>
          <w:tcPr>
            <w:tcW w:type="dxa" w:w="3043"/>
            <w:vAlign w:val="center"/>
          </w:tcPr>
          <w:p>
            <w:pPr>
              <w:spacing w:after="0"/>
            </w:pPr>
            <w:r>
              <w:rPr>
                <w:sz w:val="18"/>
              </w:rPr>
              <w:t>原放在1.3节末尾</w:t>
            </w:r>
          </w:p>
        </w:tc>
        <w:tc>
          <w:tcPr>
            <w:tcW w:type="dxa" w:w="3043"/>
            <w:vAlign w:val="center"/>
          </w:tcPr>
          <w:p>
            <w:pPr>
              <w:spacing w:after="0"/>
            </w:pPr>
            <w:r>
              <w:rPr>
                <w:sz w:val="18"/>
              </w:rPr>
              <w:t>移到1.3节开头、窗口统计量公式之前</w:t>
            </w:r>
          </w:p>
        </w:tc>
      </w:tr>
      <w:tr>
        <w:trPr>
          <w:cantSplit/>
        </w:trPr>
        <w:tc>
          <w:tcPr>
            <w:tcW w:type="dxa" w:w="3043"/>
            <w:vAlign w:val="center"/>
          </w:tcPr>
          <w:p>
            <w:pPr>
              <w:spacing w:after="0"/>
            </w:pPr>
            <w:r>
              <w:rPr>
                <w:sz w:val="18"/>
              </w:rPr>
              <w:t>统一比较协议</w:t>
            </w:r>
          </w:p>
        </w:tc>
        <w:tc>
          <w:tcPr>
            <w:tcW w:type="dxa" w:w="3043"/>
            <w:vAlign w:val="center"/>
          </w:tcPr>
          <w:p>
            <w:pPr>
              <w:spacing w:after="0"/>
            </w:pPr>
            <w:r>
              <w:rPr>
                <w:sz w:val="18"/>
              </w:rPr>
              <w:t>原放在2.1节指标公式之后</w:t>
            </w:r>
          </w:p>
        </w:tc>
        <w:tc>
          <w:tcPr>
            <w:tcW w:type="dxa" w:w="3043"/>
            <w:vAlign w:val="center"/>
          </w:tcPr>
          <w:p>
            <w:pPr>
              <w:spacing w:after="0"/>
            </w:pPr>
            <w:r>
              <w:rPr>
                <w:sz w:val="18"/>
              </w:rPr>
              <w:t>移至表1之后、训练细节之前</w:t>
            </w:r>
          </w:p>
        </w:tc>
      </w:tr>
      <w:tr>
        <w:trPr>
          <w:cantSplit/>
        </w:trPr>
        <w:tc>
          <w:tcPr>
            <w:tcW w:type="dxa" w:w="3043"/>
            <w:vAlign w:val="center"/>
          </w:tcPr>
          <w:p>
            <w:pPr>
              <w:spacing w:after="0"/>
            </w:pPr>
            <w:r>
              <w:rPr>
                <w:sz w:val="18"/>
              </w:rPr>
              <w:t>基线比较目标</w:t>
            </w:r>
          </w:p>
        </w:tc>
        <w:tc>
          <w:tcPr>
            <w:tcW w:type="dxa" w:w="3043"/>
            <w:vAlign w:val="center"/>
          </w:tcPr>
          <w:p>
            <w:pPr>
              <w:spacing w:after="0"/>
            </w:pPr>
            <w:r>
              <w:rPr>
                <w:sz w:val="18"/>
              </w:rPr>
              <w:t>原放在2.2节图2之后</w:t>
            </w:r>
          </w:p>
        </w:tc>
        <w:tc>
          <w:tcPr>
            <w:tcW w:type="dxa" w:w="3043"/>
            <w:vAlign w:val="center"/>
          </w:tcPr>
          <w:p>
            <w:pPr>
              <w:spacing w:after="0"/>
            </w:pPr>
            <w:r>
              <w:rPr>
                <w:sz w:val="18"/>
              </w:rPr>
              <w:t>移至2.2节开头、表2之前</w:t>
            </w:r>
          </w:p>
        </w:tc>
      </w:tr>
      <w:tr>
        <w:trPr>
          <w:cantSplit/>
        </w:trPr>
        <w:tc>
          <w:tcPr>
            <w:tcW w:type="dxa" w:w="3043"/>
            <w:vAlign w:val="center"/>
          </w:tcPr>
          <w:p>
            <w:pPr>
              <w:spacing w:after="0"/>
            </w:pPr>
            <w:r>
              <w:rPr>
                <w:sz w:val="18"/>
              </w:rPr>
              <w:t>融合消融目标</w:t>
            </w:r>
          </w:p>
        </w:tc>
        <w:tc>
          <w:tcPr>
            <w:tcW w:type="dxa" w:w="3043"/>
            <w:vAlign w:val="center"/>
          </w:tcPr>
          <w:p>
            <w:pPr>
              <w:spacing w:after="0"/>
            </w:pPr>
            <w:r>
              <w:rPr>
                <w:sz w:val="18"/>
              </w:rPr>
              <w:t>原放在2.3节表3之后</w:t>
            </w:r>
          </w:p>
        </w:tc>
        <w:tc>
          <w:tcPr>
            <w:tcW w:type="dxa" w:w="3043"/>
            <w:vAlign w:val="center"/>
          </w:tcPr>
          <w:p>
            <w:pPr>
              <w:spacing w:after="0"/>
            </w:pPr>
            <w:r>
              <w:rPr>
                <w:sz w:val="18"/>
              </w:rPr>
              <w:t>移至2.3节开头、对照定义之前</w:t>
            </w:r>
          </w:p>
        </w:tc>
      </w:tr>
      <w:tr>
        <w:trPr>
          <w:cantSplit/>
        </w:trPr>
        <w:tc>
          <w:tcPr>
            <w:tcW w:type="dxa" w:w="3043"/>
            <w:vAlign w:val="center"/>
          </w:tcPr>
          <w:p>
            <w:pPr>
              <w:spacing w:after="0"/>
            </w:pPr>
            <w:r>
              <w:rPr>
                <w:sz w:val="18"/>
              </w:rPr>
              <w:t>高需求评价动机</w:t>
            </w:r>
          </w:p>
        </w:tc>
        <w:tc>
          <w:tcPr>
            <w:tcW w:type="dxa" w:w="3043"/>
            <w:vAlign w:val="center"/>
          </w:tcPr>
          <w:p>
            <w:pPr>
              <w:spacing w:after="0"/>
            </w:pPr>
            <w:r>
              <w:rPr>
                <w:sz w:val="18"/>
              </w:rPr>
              <w:t>原放在2.4节图3之后</w:t>
            </w:r>
          </w:p>
        </w:tc>
        <w:tc>
          <w:tcPr>
            <w:tcW w:type="dxa" w:w="3043"/>
            <w:vAlign w:val="center"/>
          </w:tcPr>
          <w:p>
            <w:pPr>
              <w:spacing w:after="0"/>
            </w:pPr>
            <w:r>
              <w:rPr>
                <w:sz w:val="18"/>
              </w:rPr>
              <w:t>移至2.4节开头、AUE公式之前</w:t>
            </w:r>
          </w:p>
        </w:tc>
      </w:tr>
      <w:tr>
        <w:trPr>
          <w:cantSplit/>
        </w:trPr>
        <w:tc>
          <w:tcPr>
            <w:tcW w:type="dxa" w:w="3043"/>
            <w:vAlign w:val="center"/>
          </w:tcPr>
          <w:p>
            <w:pPr>
              <w:spacing w:after="0"/>
            </w:pPr>
            <w:r>
              <w:rPr>
                <w:sz w:val="18"/>
              </w:rPr>
              <w:t>一周预测目的与协议</w:t>
            </w:r>
          </w:p>
        </w:tc>
        <w:tc>
          <w:tcPr>
            <w:tcW w:type="dxa" w:w="3043"/>
            <w:vAlign w:val="center"/>
          </w:tcPr>
          <w:p>
            <w:pPr>
              <w:spacing w:after="0"/>
            </w:pPr>
            <w:r>
              <w:rPr>
                <w:sz w:val="18"/>
              </w:rPr>
              <w:t>原放在2.5节图4之后</w:t>
            </w:r>
          </w:p>
        </w:tc>
        <w:tc>
          <w:tcPr>
            <w:tcW w:type="dxa" w:w="3043"/>
            <w:vAlign w:val="center"/>
          </w:tcPr>
          <w:p>
            <w:pPr>
              <w:spacing w:after="0"/>
            </w:pPr>
            <w:r>
              <w:rPr>
                <w:sz w:val="18"/>
              </w:rPr>
              <w:t>移至2.5节开头、表4之前</w:t>
            </w:r>
          </w:p>
        </w:tc>
      </w:tr>
    </w:tbl>
    <w:p>
      <w:pPr>
        <w:pStyle w:val="Heading1"/>
      </w:pPr>
      <w:r>
        <w:t>九、投稿前最后核对事项</w:t>
      </w:r>
    </w:p>
    <w:p>
      <w:r>
        <w:t>1）以期刊编辑部直接通知的字数范围及投稿系统要求为准，再核对全文字数。2）用Microsoft Word打开V3复核中文公式字体、图中文字、封面信息、作者简介、收稿日期等。3）保留对照实验真实记录及与之对应的统计口径；如编辑提出机制解释、实验一致性等问题，按事实补证，不通过改写掩盖。4）投稿前再检查中文摘要200字上限及英文摘要与其一致性。</w:t>
      </w:r>
    </w:p>
    <w:p>
      <w:r>
        <w:t>本轮报告是行文与形式适配评估，不是编辑部录用意见。样文均为该刊已刊论文，但其写作方式可借鉴，不意味着照样修改便能保证录用。</w:t>
      </w:r>
    </w:p>
    <w:sectPr w:rsidR="00FC693F" w:rsidRPr="0006063C" w:rsidSect="00034616">
      <w:footerReference w:type="default" r:id="rId9"/>
      <w:pgSz w:w="11906" w:h="16838"/>
      <w:pgMar w:top="1191"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Paper2026_1 · V2—V3行文修订与样文对比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黑体" w:hAnsi="黑体"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黑体" w:hAnsi="黑体"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黑体" w:hAnsi="黑体" w:eastAsia="黑体"/>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