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9A33F"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57D86241" w14:textId="77777777" w:rsidR="00B14FA3" w:rsidRPr="00B14FA3" w:rsidRDefault="00B14FA3" w:rsidP="00B14FA3">
      <w:pPr>
        <w:ind w:firstLine="0"/>
        <w:jc w:val="center"/>
      </w:pPr>
      <w:r w:rsidRPr="00B14FA3">
        <w:rPr>
          <w:rFonts w:ascii="楷体" w:eastAsia="楷体" w:hAnsi="楷体" w:cs="楷体"/>
          <w:color w:val="000000"/>
          <w:szCs w:val="21"/>
        </w:rPr>
        <w:t>[请填写作者姓名]</w:t>
      </w:r>
    </w:p>
    <w:p w14:paraId="233E4490"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请填写工作单位</w:t>
      </w:r>
      <w:r w:rsidRPr="00B14FA3">
        <w:rPr>
          <w:rFonts w:eastAsia="楷体"/>
          <w:color w:val="000000"/>
          <w:sz w:val="18"/>
          <w:szCs w:val="18"/>
        </w:rPr>
        <w:t>] [</w:t>
      </w:r>
      <w:r w:rsidRPr="00B14FA3">
        <w:rPr>
          <w:rFonts w:eastAsia="楷体"/>
          <w:color w:val="000000"/>
          <w:sz w:val="18"/>
          <w:szCs w:val="18"/>
        </w:rPr>
        <w:t>请填写部门</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26D8FFD6" w14:textId="77777777" w:rsidR="00B14FA3" w:rsidRPr="00B14FA3" w:rsidRDefault="00B14FA3" w:rsidP="00B14FA3">
      <w:r>
        <w:rPr>
          <w:b/>
          <w:bCs/>
          <w:color w:val="000000"/>
        </w:rPr>
        <w:t>摘要：骨干网络源—目的节点对流量在时间上并非稳定变化，短时波动、突发变化和较慢趋势往往同时存在。固定尺度模型使用单一时间分辨率，难以随当前流量状态调整不同时间尺度信息的利用方式。为此，提出一种样本级自适应多尺度预测方法。采用尺度1、2和4的非重叠平均池化得到多分辨率序列，并分别输入DLinear专家；同时提取输入窗口的均值、标准差、末时刻均值和平均绝对一阶差分，通过轻量路由网络计算Softmax尺度权重，完成3个尺度预测结果的融合。在Abilene和GÉANT两个骨干网流量数据集上进行实验。3个共同随机种子下，所提方法的MSE相对DLinear分别降低4.06%和4.43%，相对LightTS分别降低29.89%和46.83%；8个随机种子的消融实验中，相对固定等权融合分别降低1.67%和4.68%。在仅增加少量参数的情况下，不同时间尺度的信息可以按照输入样本重新分配权重，两个数据集上的平均预测误差均得到改善。</w:t>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p>
    <w:p w14:paraId="6DDB7F12" w14:textId="77777777" w:rsidR="00B14FA3" w:rsidRPr="00B14FA3" w:rsidRDefault="00B14FA3" w:rsidP="00B14FA3">
      <w:pPr>
        <w:ind w:firstLine="0"/>
      </w:pPr>
      <w:r>
        <w:rPr>
          <w:rFonts w:eastAsia="黑体"/>
          <w:b/>
        </w:rPr>
        <w:t>关键词：</w:t>
      </w:r>
      <w:r>
        <w:t>网络流量预测；多变量时间序列；多尺度学习；自适应加权；</w:t>
      </w:r>
      <w:r>
        <w:t>DLinear</w:t>
      </w:r>
    </w:p>
    <w:p w14:paraId="18A6B693"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4EB6E192"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58F87268" w14:textId="77777777" w:rsidR="00B14FA3" w:rsidRPr="00B14FA3" w:rsidRDefault="00B14FA3" w:rsidP="00B14FA3">
      <w:pPr>
        <w:ind w:firstLine="0"/>
        <w:jc w:val="center"/>
      </w:pPr>
      <w:r w:rsidRPr="00B14FA3">
        <w:t>[Author Name]</w:t>
      </w:r>
    </w:p>
    <w:p w14:paraId="4E49EDDA" w14:textId="77777777" w:rsidR="00B14FA3" w:rsidRPr="00B14FA3" w:rsidRDefault="00B14FA3" w:rsidP="00B14FA3">
      <w:pPr>
        <w:jc w:val="center"/>
      </w:pPr>
      <w:r w:rsidRPr="00B14FA3">
        <w:t>([Affiliation] [Department], [City] [Postcode], China; Corresponding author: [Name], E-mail: [E-mail])</w:t>
      </w:r>
    </w:p>
    <w:p w14:paraId="05369785" w14:textId="77777777" w:rsidR="00B14FA3" w:rsidRPr="00B14FA3" w:rsidRDefault="00B14FA3" w:rsidP="00B14FA3">
      <w:r>
        <w:rPr>
          <w:rFonts w:eastAsia="Times New Roman"/>
          <w:b/>
          <w:bCs/>
          <w:color w:val="000000"/>
        </w:rPr>
        <w:t>Abstract: Backbone origin-destination (OD) traffic does not evolve at a single temporal pace. Short-term fluctuations, abrupt changes, and slower trends may appear in the same traffic sequence, whereas a fixed-scale model always uses one temporal resolution. A sample-wise adaptive multiscale forecasting method is therefore proposed. Non-overlapping average pooling at scales 1, 2, and 4 is applied to obtain multiresolution sequences, which are processed by separate DLinear experts. The mean, standard deviation, latest-step mean, and mean absolute first difference of each input window are also extracted and fed into a lightweight routing network. Softmax weights produced by the router are used to combine the three forecasts. Experiments are carried out on the Abilene and GÉANT backbone traffic datasets. With three common random seeds, the proposed method reduces MSE by 4.06% and 4.43% compared with DLinear and by 29.89% and 46.83% compared with LightTS. In the eight-seed ablation experiment, the MSE reductions over fixed equal weighting are 1.67% and 4.68%, respectively. The results on both datasets show that the relative contribution of different temporal scales can be adjusted for each input sample with only a small increase in model parameters.</w:t>
      </w:r>
      <w:r>
        <w:rPr>
          <w:rFonts w:eastAsia="Times New Roman"/>
          <w:color w:val="000000"/>
        </w:rPr>
      </w:r>
    </w:p>
    <w:p w14:paraId="1A5F7C32" w14:textId="77777777" w:rsidR="00B14FA3" w:rsidRPr="00B14FA3" w:rsidRDefault="00B14FA3" w:rsidP="00B14FA3">
      <w:pPr>
        <w:ind w:firstLine="0"/>
      </w:pPr>
      <w:r>
        <w:rPr>
          <w:rFonts w:eastAsia="Times New Roman"/>
          <w:b/>
          <w:bCs/>
          <w:color w:val="000000"/>
        </w:rPr>
        <w:t xml:space="preserve">Key words: </w:t>
      </w:r>
      <w:r>
        <w:rPr>
          <w:rFonts w:eastAsia="Times New Roman"/>
          <w:color w:val="000000"/>
        </w:rPr>
        <w:t>network traffic forecasting; multivariate time series; multiscale learning; adaptive weighting; DLinear</w:t>
      </w:r>
    </w:p>
    <w:p w14:paraId="5C2C4A73" w14:textId="77777777" w:rsidR="00B14FA3" w:rsidRPr="00B14FA3" w:rsidRDefault="00B14FA3" w:rsidP="00B14FA3">
      <w:pPr>
        <w:rPr>
          <w:color w:val="000000"/>
        </w:rPr>
      </w:pPr>
    </w:p>
    <w:p w14:paraId="2A311823" w14:textId="77777777" w:rsidR="00B14FA3" w:rsidRPr="00B14FA3" w:rsidRDefault="00B14FA3" w:rsidP="00B14FA3">
      <w:pPr>
        <w:rPr>
          <w:color w:val="000000"/>
        </w:rPr>
      </w:pPr>
      <w:r>
        <w:rPr>
          <w:color w:val="000000"/>
          <w:szCs w:val="21"/>
        </w:rPr>
        <w:t>随着云计算、视频业务、数据中心互联及智能网络应用的发展，骨干网络承载的数据量不断增加，业务流量的变化也更加复杂。源—目的节点对（origin-destination，OD）流量既会受到日常周期的影响，也可能在较短时间内出现明显波动。对于网络管理而言，若能提前获得后一时段的OD流量估计，可为容量规划、拥塞预警、资源调度和流量工程提供数据依据。因此，OD流量预测不仅要求模型刻画长期变化，还要保留对局部波动的响应能力。</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早期网络流量预测主要采用统计模型，随后逐渐转向机器学习和深度学习方法。Lohrasbinasab等[1]对这一发展过程进行了综述，指出数据驱动方法在复杂流量模式下具有更强的建模能力。Qin等[2]把图神经网络用于通信网络流量预测，将空间关联和时间依赖同时纳入模型；韦烜等[10]针对大型IP网络流量矩阵开展分析与预测，强调了OD变量之间关联关系的影响。对于周期性较明显的流量，唐文杰等[11]提出CycleLLH模型，将周期信息纳入预测过程。已有研究分别从变量关联、时间依赖和周期变化等方面改进了预测模型。</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除了上述特征外，网络流量还具有明显的多时间尺度特性。原始分辨率序列能够反映较细的波动，但其中也包含较多局部扰动；时间尺度变粗后，短时波动被部分平滑，整体趋势会更加突出。Zhou等[3]采用深度回声状态网络进行多尺度网络流量预测。DLinear[4]通过时间序列分解和线性映射完成预测，模型结构相对简单；TimeMixer[5]利用多尺度混合机制处理不同分辨率序列；LightTS[6]则通过采样导向的MLP结构进行快速多变量时间序列预测。由此，多尺度信息与轻量预测结构之间具有进一步结合的空间。</w:t>
      </w:r>
    </w:p>
    <w:p w14:paraId="65582279" w14:textId="77777777" w:rsidR="00B14FA3" w:rsidRPr="00B14FA3" w:rsidRDefault="00B14FA3" w:rsidP="00B14FA3">
      <w:pPr>
        <w:rPr>
          <w:color w:val="000000"/>
        </w:rPr>
      </w:pPr>
      <w:r>
        <w:rPr>
          <w:color w:val="000000"/>
          <w:szCs w:val="21"/>
        </w:rPr>
        <w:t>从实际流量序列看，不同输入窗口的波动程度并不一致。有些时段以局部变化为主，有些时段则表现出更明显的平滑趋势，此时3个时间尺度的作用很难长期保持相同。固定尺度或固定融合比例不能随这种状态变化调整。本文据此在尺度1、2和4上构造多分辨率序列，由DLinear分别完成预测，再根据当前输入窗口的统计特征生成样本级尺度权重。实验采用Abilene和GÉANT两个公开骨干网数据集，并设置基线比较、固定等权消融、8个随机种子重复实验和路由权重分析。</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12F79B1" w14:textId="77777777" w:rsidR="00B14FA3" w:rsidRPr="00B14FA3" w:rsidRDefault="00B14FA3" w:rsidP="00B14FA3"/>
    <w:p w14:paraId="155C26D6"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0B4AA7AE" w14:textId="77777777" w:rsidR="00B14FA3" w:rsidRPr="00B14FA3" w:rsidRDefault="00B14FA3" w:rsidP="00B14FA3">
      <w:r>
        <w:rPr>
          <w:color w:val="000000"/>
          <w:szCs w:val="21"/>
        </w:rPr>
        <w:t>图1给出了本文方法的整体流程。原始OD流量首先完成对数变换和标准化处理，随后在尺度1、2和4上形成3组输入序列。每组序列对应一个DLinear专家，各自输出长度为H的预测结果。与此同时，轻量路由网络根据当前输入窗口的统计量给出3个尺度权重，最终预测由3个专家输出加权得到。</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4A0F6536" w14:textId="77777777" w:rsidR="00B14FA3" w:rsidRPr="00B14FA3" w:rsidRDefault="00B14FA3" w:rsidP="00B14FA3">
      <w:pPr>
        <w:keepNext/>
        <w:spacing w:before="60"/>
        <w:ind w:firstLine="0"/>
        <w:jc w:val="center"/>
      </w:pPr>
      <w:r w:rsidRPr="00B14FA3">
        <w:rPr>
          <w:noProof/>
        </w:rPr>
        <w:drawing>
          <wp:inline distT="0" distB="0" distL="0" distR="0" wp14:anchorId="0702D61E" wp14:editId="2DE249BE">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4BAAA424" w14:textId="77777777" w:rsidR="00B14FA3" w:rsidRPr="00B14FA3" w:rsidRDefault="00B14FA3" w:rsidP="00B14FA3">
      <w:pPr>
        <w:keepLines/>
        <w:spacing w:before="60" w:after="80"/>
        <w:ind w:firstLine="0"/>
        <w:jc w:val="center"/>
      </w:pPr>
      <w:r>
        <w:rPr>
          <w:rFonts w:eastAsia="黑体"/>
          <w:b/>
          <w:sz w:val="18"/>
          <w:szCs w:val="18"/>
        </w:rPr>
        <w:t>图</w:t>
      </w:r>
      <w:r>
        <w:rPr>
          <w:rFonts w:eastAsia="黑体"/>
          <w:b/>
          <w:sz w:val="18"/>
          <w:szCs w:val="18"/>
        </w:rPr>
        <w:t xml:space="preserve">1 </w:t>
      </w:r>
      <w:r>
        <w:rPr>
          <w:rFonts w:eastAsia="黑体"/>
          <w:b/>
          <w:sz w:val="18"/>
          <w:szCs w:val="18"/>
        </w:rPr>
        <w:t>自适应多尺度网络流量预测方法框架</w:t>
      </w:r>
    </w:p>
    <w:p w14:paraId="6C67E13A"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rPr>
        <w:t xml:space="preserve">1.1 </w:t>
      </w:r>
      <w:r w:rsidRPr="00B14FA3">
        <w:rPr>
          <w:rFonts w:eastAsia="黑体"/>
          <w:b/>
          <w:bCs/>
          <w:szCs w:val="21"/>
        </w:rPr>
        <w:t>问题定义与数据预处理</w:t>
      </w:r>
    </w:p>
    <w:p w14:paraId="68385A57" w14:textId="77777777" w:rsidR="00B14FA3" w:rsidRPr="00B14FA3" w:rsidRDefault="00B14FA3" w:rsidP="00B14FA3">
      <w:pPr>
        <w:spacing w:line="360" w:lineRule="auto"/>
      </w:pPr>
      <w:r>
        <w:rPr>
          <w:szCs w:val="21"/>
        </w:rPr>
        <w:t>设预处理后的多变量流量序列为</w:t>
      </w:r>
      <w:r>
        <w:rPr>
          <w:szCs w:val="21"/>
        </w:rPr>
        <w:t xml:space="preserve"> </w:t>
      </w:r>
      <w:r>
        <w:rPr>
          <w:i/>
          <w:iCs/>
          <w:szCs w:val="21"/>
        </w:rPr>
        <w:t>x</w:t>
      </w:r>
      <w:r>
        <w:rPr>
          <w:i/>
          <w:iCs/>
          <w:szCs w:val="21"/>
          <w:vertAlign w:val="subscript"/>
        </w:rPr>
        <w:t>t</w:t>
      </w:r>
      <w:r>
        <w:rPr>
          <w:szCs w:val="21"/>
        </w:rPr>
        <w:t>∈</w:t>
      </w:r>
      <w:r>
        <w:rPr>
          <w:i/>
          <w:iCs/>
          <w:szCs w:val="21"/>
        </w:rPr>
        <w:t>R</w:t>
      </w:r>
      <w:r>
        <w:rPr>
          <w:i/>
          <w:iCs/>
          <w:szCs w:val="21"/>
          <w:vertAlign w:val="superscript"/>
        </w:rPr>
        <w:t>C</w:t>
      </w:r>
      <w:r>
        <w:rPr>
          <w:szCs w:val="21"/>
        </w:rPr>
        <w:t>，其中</w:t>
      </w:r>
      <w:r>
        <w:rPr>
          <w:i/>
          <w:iCs/>
          <w:szCs w:val="21"/>
        </w:rPr>
        <w:t>t</w:t>
      </w:r>
      <w:r>
        <w:rPr>
          <w:szCs w:val="21"/>
        </w:rPr>
        <w:t>为时间索引，</w:t>
      </w:r>
      <w:r>
        <w:rPr>
          <w:i/>
          <w:iCs/>
          <w:szCs w:val="21"/>
        </w:rPr>
        <w:t>C</w:t>
      </w:r>
      <w:r>
        <w:rPr>
          <w:szCs w:val="21"/>
        </w:rPr>
        <w:t>为</w:t>
      </w:r>
      <w:r>
        <w:rPr>
          <w:szCs w:val="21"/>
        </w:rPr>
        <w:t>OD</w:t>
      </w:r>
      <w:r>
        <w:rPr>
          <w:szCs w:val="21"/>
        </w:rPr>
        <w:t>变量数。第</w:t>
      </w:r>
      <w:r>
        <w:rPr>
          <w:i/>
          <w:iCs/>
          <w:szCs w:val="21"/>
        </w:rPr>
        <w:t>n</w:t>
      </w:r>
      <w:r>
        <w:rPr>
          <w:szCs w:val="21"/>
        </w:rPr>
        <w:t>个样本的输入和目标分别为</w:t>
      </w:r>
    </w:p>
    <w:p w14:paraId="54EEA79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lastRenderedPageBreak/>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629FA8C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221B26ED" w14:textId="77777777" w:rsidR="00B14FA3" w:rsidRPr="00B14FA3" w:rsidRDefault="00B14FA3" w:rsidP="00B14FA3">
      <w:pPr>
        <w:spacing w:line="360" w:lineRule="auto"/>
      </w:pPr>
      <w:r>
        <w:rPr>
          <w:szCs w:val="21"/>
        </w:rPr>
        <w:t>本文取输入长度</w:t>
      </w:r>
      <w:r>
        <w:rPr>
          <w:i/>
          <w:iCs/>
          <w:szCs w:val="21"/>
        </w:rPr>
        <w:t>L</w:t>
      </w:r>
      <w:r>
        <w:rPr>
          <w:szCs w:val="21"/>
        </w:rPr>
        <w:t>=96</w:t>
      </w:r>
      <w:r>
        <w:rPr>
          <w:szCs w:val="21"/>
        </w:rPr>
        <w:t>、预测长度</w:t>
      </w:r>
      <w:r>
        <w:rPr>
          <w:i/>
          <w:iCs/>
          <w:szCs w:val="21"/>
        </w:rPr>
        <w:t>H</w:t>
      </w:r>
      <w:r>
        <w:rPr>
          <w:szCs w:val="21"/>
        </w:rPr>
        <w:t>=24</w:t>
      </w:r>
      <w:r>
        <w:rPr>
          <w:szCs w:val="21"/>
        </w:rPr>
        <w:t>、变量数</w:t>
      </w:r>
      <w:r>
        <w:rPr>
          <w:i/>
          <w:iCs/>
          <w:szCs w:val="21"/>
        </w:rPr>
        <w:t>C</w:t>
      </w:r>
      <w:r>
        <w:rPr>
          <w:szCs w:val="21"/>
        </w:rPr>
        <w:t>随具体数据集的有效</w:t>
      </w:r>
      <w:r>
        <w:rPr>
          <w:szCs w:val="21"/>
        </w:rPr>
        <w:t>OD</w:t>
      </w:r>
      <w:r>
        <w:rPr>
          <w:szCs w:val="21"/>
        </w:rPr>
        <w:t>维度确定，学习映射</w:t>
      </w:r>
      <w:r>
        <w:rPr>
          <w:b/>
          <w:bCs/>
          <w:i/>
          <w:iCs/>
          <w:szCs w:val="21"/>
        </w:rPr>
        <w:t>Ŷ</w:t>
      </w:r>
      <w:r>
        <w:rPr>
          <w:i/>
          <w:iCs/>
          <w:szCs w:val="21"/>
          <w:vertAlign w:val="subscript"/>
        </w:rPr>
        <w:t>n</w:t>
      </w:r>
      <w:r>
        <w:rPr>
          <w:szCs w:val="21"/>
        </w:rPr>
        <w:t>=</w:t>
      </w:r>
      <w:r>
        <w:rPr>
          <w:i/>
          <w:iCs/>
          <w:szCs w:val="21"/>
        </w:rPr>
        <w:t>f</w:t>
      </w:r>
      <w:r>
        <w:rPr>
          <w:i/>
          <w:iCs/>
          <w:szCs w:val="21"/>
          <w:vertAlign w:val="subscript"/>
        </w:rPr>
        <w:t>θ</w:t>
      </w:r>
      <w:r>
        <w:rPr>
          <w:szCs w:val="21"/>
        </w:rPr>
        <w:t>(</w:t>
      </w:r>
      <w:r>
        <w:rPr>
          <w:b/>
          <w:bCs/>
          <w:i/>
          <w:iCs/>
          <w:szCs w:val="21"/>
        </w:rPr>
        <w:t>X</w:t>
      </w:r>
      <w:r>
        <w:rPr>
          <w:i/>
          <w:iCs/>
          <w:szCs w:val="21"/>
          <w:vertAlign w:val="subscript"/>
        </w:rPr>
        <w:t>n</w:t>
      </w:r>
      <w:r>
        <w:rPr>
          <w:szCs w:val="21"/>
        </w:rPr>
        <w:t>)</w:t>
      </w:r>
      <w:r>
        <w:rPr>
          <w:szCs w:val="21"/>
        </w:rPr>
        <w:t>。原始非负流量</w:t>
      </w:r>
      <w:r>
        <w:rPr>
          <w:i/>
          <w:iCs/>
          <w:szCs w:val="21"/>
        </w:rPr>
        <w:t>v</w:t>
      </w:r>
      <w:r>
        <w:rPr>
          <w:i/>
          <w:iCs/>
          <w:szCs w:val="21"/>
          <w:vertAlign w:val="subscript"/>
        </w:rPr>
        <w:t>t,c</w:t>
      </w:r>
      <w:r>
        <w:rPr>
          <w:szCs w:val="21"/>
        </w:rPr>
        <w:t>先作对数变换</w:t>
      </w:r>
    </w:p>
    <w:p w14:paraId="06B107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5088C610" w14:textId="77777777" w:rsidR="00B14FA3" w:rsidRPr="00B14FA3" w:rsidRDefault="00B14FA3" w:rsidP="00B14FA3">
      <w:pPr>
        <w:spacing w:line="360" w:lineRule="auto"/>
      </w:pPr>
      <w:r w:rsidRPr="00B14FA3">
        <w:rPr>
          <w:szCs w:val="21"/>
        </w:rPr>
        <w:t>再按变量进行标准化：</w:t>
      </w:r>
    </w:p>
    <w:p w14:paraId="2A2346E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663E5C2" w14:textId="77777777" w:rsidR="00B14FA3" w:rsidRPr="00B14FA3" w:rsidRDefault="00B14FA3" w:rsidP="00B14FA3">
      <w:pPr>
        <w:spacing w:line="360" w:lineRule="auto"/>
      </w:pPr>
      <w:r>
        <w:rPr>
          <w:szCs w:val="21"/>
        </w:rPr>
        <w:t>其中μctr和σctr只在训练集上计算，验证集和测试集直接使用训练阶段得到的参数。由于不同OD变量的流量量级差异较大，原始非负流量先进行log(1+x)变换，再按变量标准化。数据仍按时间顺序以6∶2∶2划分为训练集、验证集和测试集，各集合内部独立生成滑动窗口。</w:t>
      </w:r>
      <w:r>
        <w:rPr>
          <w:i/>
          <w:iCs/>
          <w:szCs w:val="21"/>
        </w:rPr>
      </w:r>
      <w:r>
        <w:rPr>
          <w:i/>
          <w:iCs/>
          <w:szCs w:val="21"/>
          <w:vertAlign w:val="subscript"/>
        </w:rPr>
      </w:r>
      <w:r>
        <w:rPr>
          <w:szCs w:val="21"/>
          <w:vertAlign w:val="superscript"/>
        </w:rPr>
      </w:r>
      <w:r>
        <w:rPr>
          <w:szCs w:val="21"/>
        </w:rPr>
      </w:r>
      <w:r>
        <w:rPr>
          <w:i/>
          <w:iCs/>
          <w:szCs w:val="21"/>
        </w:rPr>
      </w:r>
      <w:r>
        <w:rPr>
          <w:i/>
          <w:iCs/>
          <w:szCs w:val="21"/>
          <w:vertAlign w:val="subscript"/>
        </w:rPr>
      </w:r>
      <w:r>
        <w:rPr>
          <w:szCs w:val="21"/>
          <w:vertAlign w:val="superscript"/>
        </w:rPr>
      </w:r>
      <w:r>
        <w:rPr>
          <w:szCs w:val="21"/>
        </w:rPr>
      </w:r>
      <w:r>
        <w:rPr>
          <w:szCs w:val="21"/>
        </w:rPr>
      </w:r>
      <w:r>
        <w:rPr>
          <w:szCs w:val="21"/>
        </w:rPr>
      </w:r>
    </w:p>
    <w:p w14:paraId="61721526"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1.2 </w:t>
      </w:r>
      <w:r w:rsidRPr="00B14FA3">
        <w:rPr>
          <w:rFonts w:eastAsia="黑体"/>
          <w:b/>
          <w:bCs/>
          <w:szCs w:val="21"/>
        </w:rPr>
        <w:t>多尺度序列构造</w:t>
      </w:r>
    </w:p>
    <w:p w14:paraId="70A22C31" w14:textId="77777777" w:rsidR="00B14FA3" w:rsidRPr="00B14FA3" w:rsidRDefault="00B14FA3" w:rsidP="00B14FA3">
      <w:pPr>
        <w:spacing w:line="360" w:lineRule="auto"/>
      </w:pPr>
      <w:r w:rsidRPr="00B14FA3">
        <w:rPr>
          <w:szCs w:val="21"/>
        </w:rPr>
        <w:t>设尺度集合</w:t>
      </w:r>
      <w:r w:rsidRPr="00B14FA3">
        <w:rPr>
          <w:szCs w:val="21"/>
        </w:rPr>
        <w:t>S={1,2,4}</w:t>
      </w:r>
      <w:r w:rsidRPr="00B14FA3">
        <w:rPr>
          <w:szCs w:val="21"/>
        </w:rPr>
        <w:t>。对尺度</w:t>
      </w:r>
      <w:r w:rsidRPr="00B14FA3">
        <w:rPr>
          <w:szCs w:val="21"/>
        </w:rPr>
        <w:t>s</w:t>
      </w:r>
      <w:r w:rsidRPr="00B14FA3">
        <w:rPr>
          <w:szCs w:val="21"/>
        </w:rPr>
        <w:t>，使用窗口大小和步长均为</w:t>
      </w:r>
      <w:r w:rsidRPr="00B14FA3">
        <w:rPr>
          <w:szCs w:val="21"/>
        </w:rPr>
        <w:t>s</w:t>
      </w:r>
      <w:r w:rsidRPr="00B14FA3">
        <w:rPr>
          <w:szCs w:val="21"/>
        </w:rPr>
        <w:t>的非重叠平均池化：</w:t>
      </w:r>
    </w:p>
    <w:p w14:paraId="188648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7293F014" w14:textId="77777777" w:rsidR="00B14FA3" w:rsidRPr="00B14FA3" w:rsidRDefault="00B14FA3" w:rsidP="00B14FA3">
      <w:pPr>
        <w:spacing w:line="360" w:lineRule="auto"/>
      </w:pPr>
      <w:r w:rsidRPr="00B14FA3">
        <w:rPr>
          <w:szCs w:val="21"/>
        </w:rPr>
        <w:t>尺度集合取S={1,2,4}。尺度1对应原始96步输入，不做时间压缩；尺度2经过2点非重叠平均后得到48步序列；尺度4得到24步序列。这样处理后，尺度1保留更多短时变化，尺度2和尺度4逐渐削弱局部扰动。由于采用平均池化，多尺度构造本身不增加可训练参数。</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306E21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1.3 DLinear</w:t>
      </w:r>
      <w:r w:rsidRPr="00B14FA3">
        <w:rPr>
          <w:rFonts w:eastAsia="黑体"/>
          <w:b/>
          <w:bCs/>
          <w:szCs w:val="21"/>
        </w:rPr>
        <w:t>尺度专家</w:t>
      </w:r>
    </w:p>
    <w:p w14:paraId="0C0C1858" w14:textId="77777777" w:rsidR="00B14FA3" w:rsidRPr="00B14FA3" w:rsidRDefault="00B14FA3" w:rsidP="00B14FA3">
      <w:pPr>
        <w:spacing w:line="360" w:lineRule="auto"/>
      </w:pPr>
      <w:r w:rsidRPr="00B14FA3">
        <w:rPr>
          <w:szCs w:val="21"/>
        </w:rPr>
        <w:t>每个尺度配置一个独立</w:t>
      </w:r>
      <w:r w:rsidRPr="00B14FA3">
        <w:rPr>
          <w:szCs w:val="21"/>
        </w:rPr>
        <w:t>DLinear</w:t>
      </w:r>
      <w:r w:rsidRPr="00B14FA3">
        <w:rPr>
          <w:szCs w:val="21"/>
        </w:rPr>
        <w:t>专家</w:t>
      </w:r>
      <w:r w:rsidRPr="00B14FA3">
        <w:rPr>
          <w:szCs w:val="21"/>
        </w:rPr>
        <w:t>[4]</w:t>
      </w:r>
      <w:r w:rsidRPr="00B14FA3">
        <w:rPr>
          <w:szCs w:val="21"/>
        </w:rPr>
        <w:t>。对尺度</w:t>
      </w:r>
      <w:r w:rsidRPr="00B14FA3">
        <w:rPr>
          <w:szCs w:val="21"/>
        </w:rPr>
        <w:t>s</w:t>
      </w:r>
      <w:r w:rsidRPr="00B14FA3">
        <w:rPr>
          <w:szCs w:val="21"/>
        </w:rPr>
        <w:t>的输入，以长度</w:t>
      </w:r>
      <w:r w:rsidRPr="00B14FA3">
        <w:rPr>
          <w:i/>
          <w:iCs/>
          <w:szCs w:val="21"/>
        </w:rPr>
        <w:t>q</w:t>
      </w:r>
      <w:r w:rsidRPr="00B14FA3">
        <w:rPr>
          <w:szCs w:val="21"/>
        </w:rPr>
        <w:t>=25</w:t>
      </w:r>
      <w:r w:rsidRPr="00B14FA3">
        <w:rPr>
          <w:szCs w:val="21"/>
        </w:rPr>
        <w:t>的中心移动平均提取趋势项，序列两端采用端点复制以保持长度：</w:t>
      </w:r>
    </w:p>
    <w:p w14:paraId="470EA41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17B8C73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26BF54CF" w14:textId="77777777" w:rsidR="00B14FA3" w:rsidRPr="00B14FA3" w:rsidRDefault="00B14FA3" w:rsidP="00B14FA3">
      <w:pPr>
        <w:spacing w:line="360" w:lineRule="auto"/>
      </w:pPr>
      <w:r>
        <w:rPr>
          <w:szCs w:val="21"/>
        </w:rPr>
        <w:t>趋势项</w:t>
      </w:r>
      <w:r>
        <w:rPr>
          <w:b/>
          <w:bCs/>
          <w:i/>
          <w:iCs/>
          <w:szCs w:val="21"/>
        </w:rPr>
        <w:t>T</w:t>
      </w:r>
      <w:r>
        <w:rPr>
          <w:szCs w:val="21"/>
          <w:vertAlign w:val="superscript"/>
        </w:rPr>
        <w:t>(</w:t>
      </w:r>
      <w:r>
        <w:rPr>
          <w:i/>
          <w:iCs/>
          <w:szCs w:val="21"/>
          <w:vertAlign w:val="superscript"/>
        </w:rPr>
        <w:t>s</w:t>
      </w:r>
      <w:r>
        <w:rPr>
          <w:szCs w:val="21"/>
          <w:vertAlign w:val="superscript"/>
        </w:rPr>
        <w:t>)</w:t>
      </w:r>
      <w:r>
        <w:rPr>
          <w:szCs w:val="21"/>
        </w:rPr>
        <w:t>和余项</w:t>
      </w:r>
      <w:r>
        <w:rPr>
          <w:b/>
          <w:bCs/>
          <w:i/>
          <w:iCs/>
          <w:szCs w:val="21"/>
        </w:rPr>
        <w:t>R</w:t>
      </w:r>
      <w:r>
        <w:rPr>
          <w:szCs w:val="21"/>
          <w:vertAlign w:val="superscript"/>
        </w:rPr>
        <w:t>(</w:t>
      </w:r>
      <w:r>
        <w:rPr>
          <w:i/>
          <w:iCs/>
          <w:szCs w:val="21"/>
          <w:vertAlign w:val="superscript"/>
        </w:rPr>
        <w:t>s</w:t>
      </w:r>
      <w:r>
        <w:rPr>
          <w:szCs w:val="21"/>
          <w:vertAlign w:val="superscript"/>
        </w:rPr>
        <w:t>)</w:t>
      </w:r>
      <w:r>
        <w:rPr>
          <w:szCs w:val="21"/>
        </w:rPr>
        <w:t>沿时间维分别通过线性层映射到预测长度</w:t>
      </w:r>
      <w:r>
        <w:rPr>
          <w:i/>
          <w:iCs/>
          <w:szCs w:val="21"/>
        </w:rPr>
        <w:t>H</w:t>
      </w:r>
      <w:r>
        <w:rPr>
          <w:szCs w:val="21"/>
        </w:rPr>
        <w:t>：</w:t>
      </w:r>
    </w:p>
    <w:p w14:paraId="15255C2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554CD434" w14:textId="77777777" w:rsidR="00B14FA3" w:rsidRPr="00B14FA3" w:rsidRDefault="00B14FA3" w:rsidP="00B14FA3">
      <w:pPr>
        <w:spacing w:line="360" w:lineRule="auto"/>
      </w:pPr>
      <w:r>
        <w:rPr>
          <w:szCs w:val="21"/>
        </w:rPr>
        <w:t>3个尺度分别配置DLinear专家[4]。对每个尺度的输入，先用长度q=25的中心移动平均得到趋势项，再由原序列与趋势项之差得到余项，二者沿时间维分别进行线性映射。不同尺度使用独立参数，同一尺度内的OD变量共享时间映射参数。这样设置后，每个专家只需学习本尺度下的时间变化，而不必共用一套时间映射。</w:t>
      </w:r>
      <w:r w:rsidRPr="00B14FA3">
        <w:rPr>
          <w:szCs w:val="21"/>
        </w:rPr>
      </w:r>
      <w:r w:rsidRPr="00B14FA3">
        <w:rPr>
          <w:szCs w:val="21"/>
        </w:rPr>
      </w:r>
      <w:r w:rsidRPr="00B14FA3">
        <w:rPr>
          <w:szCs w:val="21"/>
        </w:rPr>
      </w:r>
      <w:r w:rsidRPr="00B14FA3">
        <w:rPr>
          <w:szCs w:val="21"/>
        </w:rPr>
      </w:r>
      <w:r w:rsidRPr="00B14FA3">
        <w:rPr>
          <w:szCs w:val="21"/>
        </w:rPr>
      </w:r>
    </w:p>
    <w:p w14:paraId="7F75A3C8"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1.4 </w:t>
      </w:r>
      <w:r w:rsidRPr="00B14FA3">
        <w:rPr>
          <w:rFonts w:eastAsia="黑体"/>
          <w:b/>
          <w:bCs/>
          <w:szCs w:val="21"/>
        </w:rPr>
        <w:t>样本级自适应尺度加权</w:t>
      </w:r>
    </w:p>
    <w:p w14:paraId="5F192824" w14:textId="77777777" w:rsidR="00B14FA3" w:rsidRPr="00B14FA3" w:rsidRDefault="00B14FA3" w:rsidP="00B14FA3">
      <w:pPr>
        <w:spacing w:line="360" w:lineRule="auto"/>
      </w:pPr>
      <w:r>
        <w:rPr>
          <w:szCs w:val="21"/>
        </w:rPr>
        <w:t>3个DLinear专家输出后，融合权重由当前输入样本决定。若直接取1/3等权，流量平稳时和波动明显时采用的尺度比例完全相同。本文从原始输入Xn提取四维统计向量zn=[μn,σn,ℓn,dn]，其中</w:t>
      </w:r>
      <w:r>
        <w:rPr>
          <w:b/>
          <w:bCs/>
          <w:i/>
          <w:iCs/>
          <w:szCs w:val="21"/>
        </w:rPr>
      </w:r>
      <w:r>
        <w:rPr>
          <w:i/>
          <w:iCs/>
          <w:szCs w:val="21"/>
          <w:vertAlign w:val="subscript"/>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p>
    <w:p w14:paraId="6325C9E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3BBFF1D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4DAEC603" w14:textId="77777777" w:rsidR="00B14FA3" w:rsidRPr="00B14FA3" w:rsidRDefault="00B14FA3" w:rsidP="00B14FA3">
      <w:pPr>
        <w:spacing w:line="360" w:lineRule="auto"/>
      </w:pPr>
      <w:r>
        <w:rPr>
          <w:i/>
          <w:iCs/>
          <w:szCs w:val="21"/>
        </w:rPr>
        <w:t>μn、σn、ℓn和dn分别表示输入窗口的总体水平、离散程度、最近状态和平均变化强度。4个统计量输入隐藏维数为16的两层感知器，输出3个尺度分数。该路由器只处理低维统计量，没有再叠加额外的时序编码模块。</w:t>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r>
        <w:rPr>
          <w:szCs w:val="21"/>
        </w:rPr>
      </w:r>
    </w:p>
    <w:p w14:paraId="44EF3E4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2935E851" w14:textId="77777777" w:rsidR="00B14FA3" w:rsidRPr="00B14FA3" w:rsidRDefault="00B14FA3" w:rsidP="00B14FA3">
      <w:pPr>
        <w:spacing w:line="360" w:lineRule="auto"/>
      </w:pPr>
      <w:r>
        <w:rPr>
          <w:szCs w:val="21"/>
        </w:rPr>
        <w:t>Softmax将三个尺度分数转换为非负且和为1的权重：</w:t>
      </w:r>
      <w:r w:rsidRPr="00B14FA3">
        <w:rPr>
          <w:szCs w:val="21"/>
        </w:rPr>
      </w:r>
      <w:r w:rsidRPr="00B14FA3">
        <w:rPr>
          <w:szCs w:val="21"/>
        </w:rPr>
      </w:r>
      <w:r w:rsidRPr="00B14FA3">
        <w:rPr>
          <w:szCs w:val="21"/>
        </w:rPr>
      </w:r>
      <w:r w:rsidRPr="00B14FA3">
        <w:rPr>
          <w:szCs w:val="21"/>
        </w:rPr>
      </w:r>
    </w:p>
    <w:p w14:paraId="141E24D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63776B5F" w14:textId="77777777" w:rsidR="00B14FA3" w:rsidRPr="00B14FA3" w:rsidRDefault="00B14FA3" w:rsidP="00B14FA3">
      <w:pPr>
        <w:spacing w:line="360" w:lineRule="auto"/>
      </w:pPr>
      <w:r w:rsidRPr="00B14FA3">
        <w:rPr>
          <w:szCs w:val="21"/>
        </w:rPr>
        <w:t>最终预测为</w:t>
      </w:r>
    </w:p>
    <w:p w14:paraId="775F089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13DA0E22" w14:textId="77777777" w:rsidR="00B14FA3" w:rsidRPr="00B14FA3" w:rsidRDefault="00B14FA3" w:rsidP="00B14FA3">
      <w:pPr>
        <w:spacing w:line="360" w:lineRule="auto"/>
      </w:pPr>
      <w:r>
        <w:rPr>
          <w:szCs w:val="21"/>
        </w:rPr>
        <w:t>3个尺度分数经过Softmax后转化为非负且和为1的权重。每个输入样本对应一组权重，并在该窗口内由全部OD变量共享。固定等权消融模型直接令3个权重均为1/3，除此之外，尺度集合、DLinear专家和训练过程与本文方法一致。</w:t>
      </w:r>
      <w:r>
        <w:rPr>
          <w:szCs w:val="21"/>
        </w:rPr>
      </w:r>
      <w:r>
        <w:rPr>
          <w:szCs w:val="21"/>
        </w:rPr>
      </w:r>
      <w:r>
        <w:rPr>
          <w:i/>
          <w:iCs/>
          <w:szCs w:val="21"/>
        </w:rPr>
      </w:r>
      <w:r>
        <w:rPr>
          <w:i/>
          <w:iCs/>
          <w:szCs w:val="21"/>
          <w:vertAlign w:val="subscript"/>
        </w:rPr>
      </w:r>
      <w:r>
        <w:rPr>
          <w:szCs w:val="21"/>
        </w:rPr>
      </w:r>
      <w:r>
        <w:rPr>
          <w:szCs w:val="21"/>
        </w:rPr>
      </w:r>
    </w:p>
    <w:p w14:paraId="2F5CF084" w14:textId="77777777" w:rsidR="00B14FA3" w:rsidRPr="00B14FA3" w:rsidRDefault="00B14FA3" w:rsidP="00B14FA3">
      <w:pPr>
        <w:keepNext/>
        <w:keepLines/>
        <w:spacing w:before="80" w:after="20" w:line="415" w:lineRule="auto"/>
        <w:ind w:firstLine="0"/>
        <w:jc w:val="left"/>
        <w:outlineLvl w:val="1"/>
        <w:rPr>
          <w:rFonts w:eastAsia="黑体"/>
          <w:b/>
          <w:bCs/>
          <w:szCs w:val="32"/>
        </w:rPr>
      </w:pPr>
      <w:r>
        <w:rPr>
          <w:rFonts w:eastAsia="黑体"/>
          <w:b/>
          <w:bCs/>
          <w:szCs w:val="21"/>
        </w:rPr>
        <w:t xml:space="preserve">1.5 </w:t>
      </w:r>
      <w:r>
        <w:rPr>
          <w:rFonts w:eastAsia="黑体"/>
          <w:b/>
          <w:bCs/>
          <w:szCs w:val="21"/>
        </w:rPr>
        <w:t>训练目标与模型复杂度</w:t>
      </w:r>
    </w:p>
    <w:p w14:paraId="1B83BA58" w14:textId="77777777" w:rsidR="00B14FA3" w:rsidRPr="00B14FA3" w:rsidRDefault="00B14FA3" w:rsidP="00B14FA3">
      <w:pPr>
        <w:spacing w:line="360" w:lineRule="auto"/>
      </w:pPr>
      <w:r w:rsidRPr="00B14FA3">
        <w:rPr>
          <w:szCs w:val="21"/>
        </w:rPr>
        <w:t>模型以所有样本、预测时刻和</w:t>
      </w:r>
      <w:r w:rsidRPr="00B14FA3">
        <w:rPr>
          <w:szCs w:val="21"/>
        </w:rPr>
        <w:t>OD</w:t>
      </w:r>
      <w:r w:rsidRPr="00B14FA3">
        <w:rPr>
          <w:szCs w:val="21"/>
        </w:rPr>
        <w:t>变量上的均方误差为目标：</w:t>
      </w:r>
    </w:p>
    <w:p w14:paraId="279072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6B94AC7B" w14:textId="77777777" w:rsidR="00B14FA3" w:rsidRPr="00B14FA3" w:rsidRDefault="00B14FA3" w:rsidP="00B14FA3">
      <w:pPr>
        <w:spacing w:line="360" w:lineRule="auto"/>
      </w:pPr>
      <w:r>
        <w:rPr>
          <w:szCs w:val="21"/>
        </w:rPr>
        <w:t>训练采用Adam优化，以验证集MSE选择模型。DLinear、固定等权多尺度模型和本文方法的可训练参数量分别为4656、8208和8339。与固定等权模型相比，加入样本级路由后增加131个参数，参数规模基本保持在同一量级。</w:t>
      </w:r>
      <w:r>
        <w:rPr>
          <w:szCs w:val="21"/>
        </w:rPr>
      </w:r>
      <w:r>
        <w:rPr>
          <w:szCs w:val="21"/>
        </w:rPr>
      </w:r>
      <w:r>
        <w:rPr>
          <w:szCs w:val="21"/>
        </w:rPr>
      </w:r>
      <w:r>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41A9DD1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2C93F002"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2.1 </w:t>
      </w:r>
      <w:r>
        <w:rPr>
          <w:rFonts w:ascii="Arial" w:eastAsia="黑体" w:hAnsi="Arial"/>
          <w:b/>
          <w:bCs/>
          <w:color w:val="000000"/>
          <w:szCs w:val="21"/>
        </w:rPr>
        <w:t>数据集与实验设置</w:t>
      </w:r>
    </w:p>
    <w:p w14:paraId="426B5418" w14:textId="77777777" w:rsidR="00B14FA3" w:rsidRPr="00B14FA3" w:rsidRDefault="00B14FA3" w:rsidP="00B14FA3">
      <w:r>
        <w:rPr>
          <w:color w:val="000000"/>
          <w:szCs w:val="21"/>
        </w:rPr>
        <w:t>实验数据来自CESNET TS-Zoo[7]，选取其中的Abilene[8]和GÉANT[9] 1 h聚合流量矩阵。Abilene保留144维有效OD流量；GÉANT去除恒定通道后保留524维，OD变量数量更大。两个数据集分别按时间顺序以6∶2∶2划分，输入长度L=96，预测长度H=24，数据预处理与第1.1节相同。表1给出了具体数据规模和预测任务设置。</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A85EE9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1 </w:t>
      </w:r>
      <w:r>
        <w:rPr>
          <w:rFonts w:eastAsia="黑体"/>
          <w:b/>
          <w:color w:val="000000"/>
          <w:sz w:val="18"/>
        </w:rPr>
        <w:t>数据集与预测任务设置</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200"/>
        <w:gridCol w:w="1100"/>
        <w:gridCol w:w="1100"/>
        <w:gridCol w:w="2300"/>
        <w:gridCol w:w="2300"/>
        <w:gridCol w:w="1000"/>
      </w:tblGrid>
      <w:tr w:rsidR="00B10182" w14:paraId="4EA6D132" w14:textId="77777777">
        <w:trPr>
          <w:cantSplit/>
          <w:tblHeader/>
          <w:jc w:val="center"/>
        </w:trPr>
        <w:tc>
          <w:tcPr>
            <w:tcW w:w="1200" w:type="dxa"/>
            <w:tcBorders>
              <w:bottom w:val="single" w:sz="8" w:space="0" w:color="000000"/>
            </w:tcBorders>
            <w:tcMar>
              <w:top w:w="55" w:type="dxa"/>
              <w:left w:w="70" w:type="dxa"/>
              <w:bottom w:w="55" w:type="dxa"/>
              <w:right w:w="70" w:type="dxa"/>
            </w:tcMar>
            <w:vAlign w:val="center"/>
            <w:hideMark/>
          </w:tcPr>
          <w:p w14:paraId="6F1FEB54" w14:textId="77777777" w:rsidR="00B14FA3" w:rsidRPr="00B14FA3" w:rsidRDefault="00B14FA3" w:rsidP="00B14FA3">
            <w:pPr>
              <w:keepNext/>
              <w:ind w:firstLine="0"/>
              <w:jc w:val="center"/>
            </w:pPr>
            <w:r>
              <w:rPr>
                <w:b/>
                <w:color w:val="000000"/>
                <w:szCs w:val="21"/>
              </w:rPr>
              <w:t>数据集</w:t>
            </w:r>
          </w:p>
        </w:tc>
        <w:tc>
          <w:tcPr>
            <w:tcW w:w="1100" w:type="dxa"/>
            <w:tcBorders>
              <w:bottom w:val="single" w:sz="8" w:space="0" w:color="000000"/>
            </w:tcBorders>
            <w:tcMar>
              <w:top w:w="55" w:type="dxa"/>
              <w:left w:w="70" w:type="dxa"/>
              <w:bottom w:w="55" w:type="dxa"/>
              <w:right w:w="70" w:type="dxa"/>
            </w:tcMar>
            <w:vAlign w:val="center"/>
            <w:hideMark/>
          </w:tcPr>
          <w:p w14:paraId="3693DDBE" w14:textId="77777777" w:rsidR="00B14FA3" w:rsidRPr="00B14FA3" w:rsidRDefault="00B14FA3" w:rsidP="00B14FA3">
            <w:pPr>
              <w:keepNext/>
              <w:ind w:firstLine="0"/>
              <w:jc w:val="center"/>
            </w:pPr>
            <w:r>
              <w:rPr>
                <w:b/>
                <w:color w:val="000000"/>
                <w:szCs w:val="21"/>
              </w:rPr>
              <w:t>时间点</w:t>
            </w:r>
          </w:p>
        </w:tc>
        <w:tc>
          <w:tcPr>
            <w:tcW w:w="1100" w:type="dxa"/>
            <w:tcBorders>
              <w:bottom w:val="single" w:sz="8" w:space="0" w:color="000000"/>
            </w:tcBorders>
            <w:tcMar>
              <w:top w:w="55" w:type="dxa"/>
              <w:left w:w="70" w:type="dxa"/>
              <w:bottom w:w="55" w:type="dxa"/>
              <w:right w:w="70" w:type="dxa"/>
            </w:tcMar>
            <w:vAlign w:val="center"/>
            <w:hideMark/>
          </w:tcPr>
          <w:p w14:paraId="61AE8EF9" w14:textId="77777777" w:rsidR="00B14FA3" w:rsidRPr="00B14FA3" w:rsidRDefault="00B14FA3" w:rsidP="00B14FA3">
            <w:pPr>
              <w:keepNext/>
              <w:ind w:firstLine="0"/>
              <w:jc w:val="center"/>
            </w:pPr>
            <w:r>
              <w:rPr>
                <w:b/>
                <w:color w:val="000000"/>
                <w:szCs w:val="21"/>
              </w:rPr>
              <w:t>有效变量</w:t>
            </w:r>
            <w:r>
              <w:rPr>
                <w:b/>
                <w:color w:val="000000"/>
                <w:szCs w:val="21"/>
              </w:rPr>
              <w:t>C</w:t>
            </w:r>
          </w:p>
        </w:tc>
        <w:tc>
          <w:tcPr>
            <w:tcW w:w="2300" w:type="dxa"/>
            <w:tcBorders>
              <w:bottom w:val="single" w:sz="8" w:space="0" w:color="000000"/>
            </w:tcBorders>
            <w:tcMar>
              <w:top w:w="55" w:type="dxa"/>
              <w:left w:w="70" w:type="dxa"/>
              <w:bottom w:w="55" w:type="dxa"/>
              <w:right w:w="70" w:type="dxa"/>
            </w:tcMar>
            <w:vAlign w:val="center"/>
            <w:hideMark/>
          </w:tcPr>
          <w:p w14:paraId="00AFD535"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测试时间点</w:t>
            </w:r>
          </w:p>
        </w:tc>
        <w:tc>
          <w:tcPr>
            <w:tcW w:w="2300" w:type="dxa"/>
            <w:tcBorders>
              <w:bottom w:val="single" w:sz="8" w:space="0" w:color="000000"/>
            </w:tcBorders>
            <w:tcMar>
              <w:top w:w="55" w:type="dxa"/>
              <w:left w:w="70" w:type="dxa"/>
              <w:bottom w:w="55" w:type="dxa"/>
              <w:right w:w="70" w:type="dxa"/>
            </w:tcMar>
            <w:vAlign w:val="center"/>
            <w:hideMark/>
          </w:tcPr>
          <w:p w14:paraId="7492F132"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测试窗口</w:t>
            </w:r>
          </w:p>
        </w:tc>
        <w:tc>
          <w:tcPr>
            <w:tcW w:w="1000" w:type="dxa"/>
            <w:tcBorders>
              <w:bottom w:val="single" w:sz="8" w:space="0" w:color="000000"/>
            </w:tcBorders>
            <w:tcMar>
              <w:top w:w="55" w:type="dxa"/>
              <w:left w:w="70" w:type="dxa"/>
              <w:bottom w:w="55" w:type="dxa"/>
              <w:right w:w="70" w:type="dxa"/>
            </w:tcMar>
            <w:vAlign w:val="center"/>
            <w:hideMark/>
          </w:tcPr>
          <w:p w14:paraId="443C0C0B" w14:textId="77777777" w:rsidR="00B14FA3" w:rsidRPr="00B14FA3" w:rsidRDefault="00B14FA3" w:rsidP="00B14FA3">
            <w:pPr>
              <w:keepNext/>
              <w:ind w:firstLine="0"/>
              <w:jc w:val="center"/>
            </w:pPr>
            <w:r>
              <w:rPr>
                <w:b/>
                <w:color w:val="000000"/>
                <w:szCs w:val="21"/>
              </w:rPr>
              <w:t>L/H</w:t>
            </w:r>
          </w:p>
        </w:tc>
      </w:tr>
      <w:tr w:rsidR="00B10182" w14:paraId="60662C3F"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70B444C7" w14:textId="77777777" w:rsidR="00B14FA3" w:rsidRPr="00B14FA3" w:rsidRDefault="00B14FA3" w:rsidP="00B14FA3">
            <w:pPr>
              <w:keepNext/>
              <w:ind w:firstLine="0"/>
              <w:jc w:val="left"/>
            </w:pPr>
            <w:r>
              <w:rPr>
                <w:color w:val="000000"/>
                <w:szCs w:val="21"/>
              </w:rPr>
              <w:t>Abilene</w:t>
            </w:r>
          </w:p>
        </w:tc>
        <w:tc>
          <w:tcPr>
            <w:tcW w:w="1100" w:type="dxa"/>
            <w:tcBorders>
              <w:top w:val="nil"/>
              <w:left w:val="nil"/>
              <w:bottom w:val="nil"/>
              <w:right w:val="nil"/>
            </w:tcBorders>
            <w:tcMar>
              <w:top w:w="55" w:type="dxa"/>
              <w:left w:w="70" w:type="dxa"/>
              <w:bottom w:w="55" w:type="dxa"/>
              <w:right w:w="70" w:type="dxa"/>
            </w:tcMar>
            <w:vAlign w:val="center"/>
            <w:hideMark/>
          </w:tcPr>
          <w:p w14:paraId="4EBF696C" w14:textId="77777777" w:rsidR="00B14FA3" w:rsidRPr="00B14FA3" w:rsidRDefault="00B14FA3" w:rsidP="00B14FA3">
            <w:pPr>
              <w:keepNext/>
              <w:ind w:firstLine="0"/>
              <w:jc w:val="left"/>
            </w:pPr>
            <w:r>
              <w:rPr>
                <w:color w:val="000000"/>
                <w:szCs w:val="21"/>
              </w:rPr>
              <w:t>4656</w:t>
            </w:r>
          </w:p>
        </w:tc>
        <w:tc>
          <w:tcPr>
            <w:tcW w:w="1100" w:type="dxa"/>
            <w:tcBorders>
              <w:top w:val="nil"/>
              <w:left w:val="nil"/>
              <w:bottom w:val="nil"/>
              <w:right w:val="nil"/>
            </w:tcBorders>
            <w:tcMar>
              <w:top w:w="55" w:type="dxa"/>
              <w:left w:w="70" w:type="dxa"/>
              <w:bottom w:w="55" w:type="dxa"/>
              <w:right w:w="70" w:type="dxa"/>
            </w:tcMar>
            <w:vAlign w:val="center"/>
            <w:hideMark/>
          </w:tcPr>
          <w:p w14:paraId="203C3A10" w14:textId="77777777" w:rsidR="00B14FA3" w:rsidRPr="00B14FA3" w:rsidRDefault="00B14FA3" w:rsidP="00B14FA3">
            <w:pPr>
              <w:keepNext/>
              <w:ind w:firstLine="0"/>
              <w:jc w:val="left"/>
            </w:pPr>
            <w:r>
              <w:rPr>
                <w:color w:val="000000"/>
                <w:szCs w:val="21"/>
              </w:rPr>
              <w:t>144</w:t>
            </w:r>
          </w:p>
        </w:tc>
        <w:tc>
          <w:tcPr>
            <w:tcW w:w="2300" w:type="dxa"/>
            <w:tcBorders>
              <w:top w:val="nil"/>
              <w:left w:val="nil"/>
              <w:bottom w:val="nil"/>
              <w:right w:val="nil"/>
            </w:tcBorders>
            <w:tcMar>
              <w:top w:w="55" w:type="dxa"/>
              <w:left w:w="70" w:type="dxa"/>
              <w:bottom w:w="55" w:type="dxa"/>
              <w:right w:w="70" w:type="dxa"/>
            </w:tcMar>
            <w:vAlign w:val="center"/>
            <w:hideMark/>
          </w:tcPr>
          <w:p w14:paraId="418C4BE2" w14:textId="77777777" w:rsidR="00B14FA3" w:rsidRPr="00B14FA3" w:rsidRDefault="00B14FA3" w:rsidP="00B14FA3">
            <w:pPr>
              <w:keepNext/>
              <w:ind w:firstLine="0"/>
              <w:jc w:val="left"/>
            </w:pPr>
            <w:r>
              <w:rPr>
                <w:color w:val="000000"/>
                <w:szCs w:val="21"/>
              </w:rPr>
              <w:t>2793/931/932</w:t>
            </w:r>
          </w:p>
        </w:tc>
        <w:tc>
          <w:tcPr>
            <w:tcW w:w="2300" w:type="dxa"/>
            <w:tcBorders>
              <w:top w:val="nil"/>
              <w:left w:val="nil"/>
              <w:bottom w:val="nil"/>
              <w:right w:val="nil"/>
            </w:tcBorders>
            <w:tcMar>
              <w:top w:w="55" w:type="dxa"/>
              <w:left w:w="70" w:type="dxa"/>
              <w:bottom w:w="55" w:type="dxa"/>
              <w:right w:w="70" w:type="dxa"/>
            </w:tcMar>
            <w:vAlign w:val="center"/>
            <w:hideMark/>
          </w:tcPr>
          <w:p w14:paraId="3E47EF4C" w14:textId="77777777" w:rsidR="00B14FA3" w:rsidRPr="00B14FA3" w:rsidRDefault="00B14FA3" w:rsidP="00B14FA3">
            <w:pPr>
              <w:keepNext/>
              <w:ind w:firstLine="0"/>
              <w:jc w:val="left"/>
            </w:pPr>
            <w:r>
              <w:rPr>
                <w:color w:val="000000"/>
                <w:szCs w:val="21"/>
              </w:rPr>
              <w:t>2674/812/813</w:t>
            </w:r>
          </w:p>
        </w:tc>
        <w:tc>
          <w:tcPr>
            <w:tcW w:w="1000" w:type="dxa"/>
            <w:tcBorders>
              <w:top w:val="nil"/>
              <w:left w:val="nil"/>
              <w:bottom w:val="nil"/>
              <w:right w:val="nil"/>
            </w:tcBorders>
            <w:tcMar>
              <w:top w:w="55" w:type="dxa"/>
              <w:left w:w="70" w:type="dxa"/>
              <w:bottom w:w="55" w:type="dxa"/>
              <w:right w:w="70" w:type="dxa"/>
            </w:tcMar>
            <w:vAlign w:val="center"/>
            <w:hideMark/>
          </w:tcPr>
          <w:p w14:paraId="68B41A69" w14:textId="77777777" w:rsidR="00B14FA3" w:rsidRPr="00B14FA3" w:rsidRDefault="00B14FA3" w:rsidP="00B14FA3">
            <w:pPr>
              <w:keepNext/>
              <w:ind w:firstLine="0"/>
              <w:jc w:val="left"/>
            </w:pPr>
            <w:r>
              <w:rPr>
                <w:color w:val="000000"/>
                <w:szCs w:val="21"/>
              </w:rPr>
              <w:t>96/24</w:t>
            </w:r>
          </w:p>
        </w:tc>
      </w:tr>
      <w:tr w:rsidR="00B10182" w14:paraId="026887DD"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4ABC61A0" w14:textId="77777777" w:rsidR="00B14FA3" w:rsidRPr="00B14FA3" w:rsidRDefault="00B14FA3" w:rsidP="00B14FA3">
            <w:pPr>
              <w:keepNext/>
              <w:ind w:firstLine="0"/>
              <w:jc w:val="left"/>
            </w:pPr>
            <w:r>
              <w:rPr>
                <w:color w:val="000000"/>
                <w:szCs w:val="21"/>
              </w:rPr>
              <w:t>GÉANT</w:t>
            </w:r>
          </w:p>
        </w:tc>
        <w:tc>
          <w:tcPr>
            <w:tcW w:w="1100" w:type="dxa"/>
            <w:tcBorders>
              <w:top w:val="nil"/>
              <w:left w:val="nil"/>
              <w:bottom w:val="nil"/>
              <w:right w:val="nil"/>
            </w:tcBorders>
            <w:tcMar>
              <w:top w:w="55" w:type="dxa"/>
              <w:left w:w="70" w:type="dxa"/>
              <w:bottom w:w="55" w:type="dxa"/>
              <w:right w:w="70" w:type="dxa"/>
            </w:tcMar>
            <w:vAlign w:val="center"/>
            <w:hideMark/>
          </w:tcPr>
          <w:p w14:paraId="37FA10D1" w14:textId="77777777" w:rsidR="00B14FA3" w:rsidRPr="00B14FA3" w:rsidRDefault="00B14FA3" w:rsidP="00B14FA3">
            <w:pPr>
              <w:keepNext/>
              <w:ind w:firstLine="0"/>
              <w:jc w:val="left"/>
            </w:pPr>
            <w:r>
              <w:rPr>
                <w:color w:val="000000"/>
                <w:szCs w:val="21"/>
              </w:rPr>
              <w:t>2849</w:t>
            </w:r>
          </w:p>
        </w:tc>
        <w:tc>
          <w:tcPr>
            <w:tcW w:w="1100" w:type="dxa"/>
            <w:tcBorders>
              <w:top w:val="nil"/>
              <w:left w:val="nil"/>
              <w:bottom w:val="nil"/>
              <w:right w:val="nil"/>
            </w:tcBorders>
            <w:tcMar>
              <w:top w:w="55" w:type="dxa"/>
              <w:left w:w="70" w:type="dxa"/>
              <w:bottom w:w="55" w:type="dxa"/>
              <w:right w:w="70" w:type="dxa"/>
            </w:tcMar>
            <w:vAlign w:val="center"/>
            <w:hideMark/>
          </w:tcPr>
          <w:p w14:paraId="0F63E5AA" w14:textId="77777777" w:rsidR="00B14FA3" w:rsidRPr="00B14FA3" w:rsidRDefault="00B14FA3" w:rsidP="00B14FA3">
            <w:pPr>
              <w:keepNext/>
              <w:ind w:firstLine="0"/>
              <w:jc w:val="left"/>
            </w:pPr>
            <w:r>
              <w:rPr>
                <w:color w:val="000000"/>
                <w:szCs w:val="21"/>
              </w:rPr>
              <w:t>524</w:t>
            </w:r>
          </w:p>
        </w:tc>
        <w:tc>
          <w:tcPr>
            <w:tcW w:w="2300" w:type="dxa"/>
            <w:tcBorders>
              <w:top w:val="nil"/>
              <w:left w:val="nil"/>
              <w:bottom w:val="nil"/>
              <w:right w:val="nil"/>
            </w:tcBorders>
            <w:tcMar>
              <w:top w:w="55" w:type="dxa"/>
              <w:left w:w="70" w:type="dxa"/>
              <w:bottom w:w="55" w:type="dxa"/>
              <w:right w:w="70" w:type="dxa"/>
            </w:tcMar>
            <w:vAlign w:val="center"/>
            <w:hideMark/>
          </w:tcPr>
          <w:p w14:paraId="066E6608" w14:textId="77777777" w:rsidR="00B14FA3" w:rsidRPr="00B14FA3" w:rsidRDefault="00B14FA3" w:rsidP="00B14FA3">
            <w:pPr>
              <w:keepNext/>
              <w:ind w:firstLine="0"/>
              <w:jc w:val="left"/>
            </w:pPr>
            <w:r>
              <w:rPr>
                <w:color w:val="000000"/>
                <w:szCs w:val="21"/>
              </w:rPr>
              <w:t>1709/570/570</w:t>
            </w:r>
          </w:p>
        </w:tc>
        <w:tc>
          <w:tcPr>
            <w:tcW w:w="2300" w:type="dxa"/>
            <w:tcBorders>
              <w:top w:val="nil"/>
              <w:left w:val="nil"/>
              <w:bottom w:val="nil"/>
              <w:right w:val="nil"/>
            </w:tcBorders>
            <w:tcMar>
              <w:top w:w="55" w:type="dxa"/>
              <w:left w:w="70" w:type="dxa"/>
              <w:bottom w:w="55" w:type="dxa"/>
              <w:right w:w="70" w:type="dxa"/>
            </w:tcMar>
            <w:vAlign w:val="center"/>
            <w:hideMark/>
          </w:tcPr>
          <w:p w14:paraId="544CE805" w14:textId="77777777" w:rsidR="00B14FA3" w:rsidRPr="00B14FA3" w:rsidRDefault="00B14FA3" w:rsidP="00B14FA3">
            <w:pPr>
              <w:keepNext/>
              <w:ind w:firstLine="0"/>
              <w:jc w:val="left"/>
            </w:pPr>
            <w:r>
              <w:rPr>
                <w:color w:val="000000"/>
                <w:szCs w:val="21"/>
              </w:rPr>
              <w:t>1590/451/451</w:t>
            </w:r>
          </w:p>
        </w:tc>
        <w:tc>
          <w:tcPr>
            <w:tcW w:w="1000" w:type="dxa"/>
            <w:tcBorders>
              <w:top w:val="nil"/>
              <w:left w:val="nil"/>
              <w:bottom w:val="nil"/>
              <w:right w:val="nil"/>
            </w:tcBorders>
            <w:tcMar>
              <w:top w:w="55" w:type="dxa"/>
              <w:left w:w="70" w:type="dxa"/>
              <w:bottom w:w="55" w:type="dxa"/>
              <w:right w:w="70" w:type="dxa"/>
            </w:tcMar>
            <w:vAlign w:val="center"/>
            <w:hideMark/>
          </w:tcPr>
          <w:p w14:paraId="256DDA9D" w14:textId="77777777" w:rsidR="00B14FA3" w:rsidRPr="00B14FA3" w:rsidRDefault="00B14FA3" w:rsidP="00B14FA3">
            <w:pPr>
              <w:keepNext/>
              <w:ind w:firstLine="0"/>
              <w:jc w:val="left"/>
            </w:pPr>
            <w:r>
              <w:rPr>
                <w:color w:val="000000"/>
                <w:szCs w:val="21"/>
              </w:rPr>
              <w:t>96/24</w:t>
            </w:r>
          </w:p>
        </w:tc>
      </w:tr>
    </w:tbl>
    <w:p w14:paraId="7F30E00E" w14:textId="77777777" w:rsidR="00B14FA3" w:rsidRPr="00B14FA3" w:rsidRDefault="00B14FA3" w:rsidP="00B14FA3">
      <w:r>
        <w:rPr>
          <w:color w:val="000000"/>
          <w:szCs w:val="21"/>
        </w:rPr>
        <w:t>所有对比模型使用相同的数据划分、输入长度和评价指标，批量大小均为16。DLinear、固定等权多尺度模型和本文方法最多训练30轮，LightTS最多训练50轮，各模型均以验证集MSE选择结果。外部基线比较使用随机种子42—44；核心模型另外在42—49共8个随机种子下重复训练。</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111070D4"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2.2 </w:t>
      </w:r>
      <w:r>
        <w:rPr>
          <w:rFonts w:ascii="Arial" w:eastAsia="黑体" w:hAnsi="Arial"/>
          <w:b/>
          <w:bCs/>
          <w:color w:val="000000"/>
          <w:szCs w:val="21"/>
        </w:rPr>
        <w:t>对比模型与评价指标</w:t>
      </w:r>
    </w:p>
    <w:p w14:paraId="3EC5233F" w14:textId="77777777" w:rsidR="00B14FA3" w:rsidRPr="00B14FA3" w:rsidRDefault="00B14FA3" w:rsidP="00B14FA3">
      <w:r>
        <w:rPr>
          <w:color w:val="000000"/>
          <w:szCs w:val="21"/>
        </w:rPr>
        <w:t>实验设置3类对比模型：单尺度DLinear、LightTS以及固定等权多尺度模型。前两者用于观察本文方法与现有轻量预测结构的差异。固定等权多尺度模型使用尺度集合{1,2,4}和相同的DLinear专家，但不经过路由网络，3个尺度始终按1/3融合。</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BE60480" w14:textId="77777777" w:rsidR="00B14FA3" w:rsidRPr="00B14FA3" w:rsidRDefault="00B14FA3" w:rsidP="00B14FA3">
      <w:r>
        <w:rPr>
          <w:color w:val="000000"/>
          <w:szCs w:val="21"/>
        </w:rPr>
        <w:t>采用均方误差（MSE）、平均绝对误差（MAE）和均方根误差（RMSE）评价预测性能。MSE按式（14）计算，MAE和RMSE分别为</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2476975"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(15)</w:t>
      </w:r>
    </w:p>
    <w:p w14:paraId="78A587D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(16)</w:t>
      </w:r>
    </w:p>
    <w:p w14:paraId="015A2BBD" w14:textId="77777777" w:rsidR="00B14FA3" w:rsidRPr="00B14FA3" w:rsidRDefault="00B14FA3" w:rsidP="00B14FA3">
      <w:r>
        <w:rPr>
          <w:color w:val="000000"/>
          <w:szCs w:val="21"/>
        </w:rPr>
        <w:t>评价指标为MSE、MAE和RMSE，均在标准化空间中计算。MSE按式（14）计算，MAE和RMSE分别见式（15）和式（16）。正文主要讨论MSE和MAE；表2统计随机种子42—44的均值±标准差，表3统计随机种子42—49的均值±标准差。</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B4CAE4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2.3 </w:t>
      </w:r>
      <w:r>
        <w:rPr>
          <w:rFonts w:ascii="Arial" w:eastAsia="黑体" w:hAnsi="Arial"/>
          <w:b/>
          <w:bCs/>
          <w:color w:val="000000"/>
          <w:szCs w:val="21"/>
        </w:rPr>
        <w:t>两数据集外部基线比较</w:t>
      </w:r>
    </w:p>
    <w:p w14:paraId="47C6B19C" w14:textId="77777777" w:rsidR="00B14FA3" w:rsidRPr="00B14FA3" w:rsidRDefault="00B14FA3" w:rsidP="00B14FA3">
      <w:r>
        <w:rPr>
          <w:color w:val="000000"/>
          <w:szCs w:val="21"/>
        </w:rPr>
        <w:t>由表2可知，本文方法在Abilene上的MSE为0.186，在GÉANT上为0.434。相对于DLinear，两者分别降低4.06%和4.43%；相对于LightTS，降幅分别为29.89%和46.83%。MAE的变化方向与MSE一致。两个数据集的结果都显示，加入多尺度输入和样本级融合后，平均预测误差低于对应基线。</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C988E8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2 </w:t>
      </w:r>
      <w:r>
        <w:rPr>
          <w:rFonts w:eastAsia="黑体"/>
          <w:b/>
          <w:color w:val="000000"/>
          <w:sz w:val="18"/>
        </w:rPr>
        <w:t>三随机种子外部基线比较</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74CC92C2"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73A1B21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D3A8B74"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6A04AC4B"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0529A34"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0BF29862" w14:textId="77777777" w:rsidR="00B14FA3" w:rsidRPr="00B14FA3" w:rsidRDefault="00B14FA3" w:rsidP="00B14FA3">
            <w:pPr>
              <w:keepNext/>
              <w:ind w:firstLine="0"/>
              <w:jc w:val="center"/>
            </w:pPr>
            <w:r>
              <w:rPr>
                <w:b/>
                <w:color w:val="000000"/>
                <w:szCs w:val="21"/>
              </w:rPr>
              <w:t>MAE</w:t>
            </w:r>
          </w:p>
        </w:tc>
      </w:tr>
      <w:tr w:rsidR="00B10182" w14:paraId="7BD3F36B"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270E4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605C29C9"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4ABBFC5B"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28CCFDF6"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5B37841B" w14:textId="77777777" w:rsidR="00B14FA3" w:rsidRPr="00B14FA3" w:rsidRDefault="00B14FA3" w:rsidP="00B14FA3">
            <w:pPr>
              <w:keepNext/>
              <w:ind w:firstLine="0"/>
              <w:jc w:val="left"/>
            </w:pPr>
            <w:r>
              <w:rPr>
                <w:color w:val="000000"/>
                <w:szCs w:val="21"/>
              </w:rPr>
              <w:t>0.188±0.009</w:t>
            </w:r>
          </w:p>
        </w:tc>
      </w:tr>
      <w:tr w:rsidR="00B10182" w14:paraId="30BC0D5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D2E5A7E"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65248BF"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DBDB155" w14:textId="77777777" w:rsidR="00B14FA3" w:rsidRPr="00B14FA3" w:rsidRDefault="00B14FA3" w:rsidP="00B14FA3">
            <w:pPr>
              <w:keepNext/>
              <w:ind w:firstLine="0"/>
              <w:jc w:val="left"/>
            </w:pPr>
            <w:r>
              <w:rPr>
                <w:color w:val="000000"/>
                <w:szCs w:val="21"/>
              </w:rPr>
              <w:t>130162</w:t>
            </w:r>
          </w:p>
        </w:tc>
        <w:tc>
          <w:tcPr>
            <w:tcW w:w="2000" w:type="dxa"/>
            <w:tcBorders>
              <w:top w:val="nil"/>
              <w:left w:val="nil"/>
              <w:bottom w:val="nil"/>
              <w:right w:val="nil"/>
            </w:tcBorders>
            <w:tcMar>
              <w:top w:w="55" w:type="dxa"/>
              <w:left w:w="70" w:type="dxa"/>
              <w:bottom w:w="55" w:type="dxa"/>
              <w:right w:w="70" w:type="dxa"/>
            </w:tcMar>
            <w:vAlign w:val="center"/>
            <w:hideMark/>
          </w:tcPr>
          <w:p w14:paraId="514903F0" w14:textId="77777777" w:rsidR="00B14FA3" w:rsidRPr="00B14FA3" w:rsidRDefault="00B14FA3" w:rsidP="00B14FA3">
            <w:pPr>
              <w:keepNext/>
              <w:ind w:firstLine="0"/>
              <w:jc w:val="left"/>
            </w:pPr>
            <w:r>
              <w:rPr>
                <w:color w:val="000000"/>
                <w:szCs w:val="21"/>
              </w:rPr>
              <w:t>0.265±0.011</w:t>
            </w:r>
          </w:p>
        </w:tc>
        <w:tc>
          <w:tcPr>
            <w:tcW w:w="2000" w:type="dxa"/>
            <w:tcBorders>
              <w:top w:val="nil"/>
              <w:left w:val="nil"/>
              <w:bottom w:val="nil"/>
              <w:right w:val="nil"/>
            </w:tcBorders>
            <w:tcMar>
              <w:top w:w="55" w:type="dxa"/>
              <w:left w:w="70" w:type="dxa"/>
              <w:bottom w:w="55" w:type="dxa"/>
              <w:right w:w="70" w:type="dxa"/>
            </w:tcMar>
            <w:vAlign w:val="center"/>
            <w:hideMark/>
          </w:tcPr>
          <w:p w14:paraId="7928E3E7" w14:textId="77777777" w:rsidR="00B14FA3" w:rsidRPr="00B14FA3" w:rsidRDefault="00B14FA3" w:rsidP="00B14FA3">
            <w:pPr>
              <w:keepNext/>
              <w:ind w:firstLine="0"/>
              <w:jc w:val="left"/>
            </w:pPr>
            <w:r>
              <w:rPr>
                <w:color w:val="000000"/>
                <w:szCs w:val="21"/>
              </w:rPr>
              <w:t>0.204±0.008</w:t>
            </w:r>
          </w:p>
        </w:tc>
      </w:tr>
      <w:tr w:rsidR="00B10182" w14:paraId="346D7B1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9582576"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5A1E076"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2E2CB203"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03B5D7D6" w14:textId="77777777" w:rsidR="00B14FA3" w:rsidRPr="00B14FA3" w:rsidRDefault="00B14FA3" w:rsidP="00B14FA3">
            <w:pPr>
              <w:keepNext/>
              <w:ind w:firstLine="0"/>
              <w:jc w:val="left"/>
            </w:pPr>
            <w:r>
              <w:rPr>
                <w:color w:val="000000"/>
                <w:szCs w:val="21"/>
              </w:rPr>
              <w:t>0.186±0.002</w:t>
            </w:r>
          </w:p>
        </w:tc>
        <w:tc>
          <w:tcPr>
            <w:tcW w:w="2000" w:type="dxa"/>
            <w:tcBorders>
              <w:top w:val="nil"/>
              <w:left w:val="nil"/>
              <w:bottom w:val="nil"/>
              <w:right w:val="nil"/>
            </w:tcBorders>
            <w:tcMar>
              <w:top w:w="55" w:type="dxa"/>
              <w:left w:w="70" w:type="dxa"/>
              <w:bottom w:w="55" w:type="dxa"/>
              <w:right w:w="70" w:type="dxa"/>
            </w:tcMar>
            <w:vAlign w:val="center"/>
            <w:hideMark/>
          </w:tcPr>
          <w:p w14:paraId="7225EFCD" w14:textId="77777777" w:rsidR="00B14FA3" w:rsidRPr="00B14FA3" w:rsidRDefault="00B14FA3" w:rsidP="00B14FA3">
            <w:pPr>
              <w:keepNext/>
              <w:ind w:firstLine="0"/>
              <w:jc w:val="left"/>
            </w:pPr>
            <w:r>
              <w:rPr>
                <w:color w:val="000000"/>
                <w:szCs w:val="21"/>
              </w:rPr>
              <w:t>0.168±0.001</w:t>
            </w:r>
          </w:p>
        </w:tc>
      </w:tr>
      <w:tr w:rsidR="00B10182" w14:paraId="08C5DFD2"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18FA40"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4445469C"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30B2B4F3"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52D4A5CB" w14:textId="77777777" w:rsidR="00B14FA3" w:rsidRPr="00B14FA3" w:rsidRDefault="00B14FA3" w:rsidP="00B14FA3">
            <w:pPr>
              <w:keepNext/>
              <w:ind w:firstLine="0"/>
              <w:jc w:val="left"/>
            </w:pPr>
            <w:r>
              <w:rPr>
                <w:color w:val="000000"/>
                <w:szCs w:val="21"/>
              </w:rPr>
              <w:t>0.454±0.007</w:t>
            </w:r>
          </w:p>
        </w:tc>
        <w:tc>
          <w:tcPr>
            <w:tcW w:w="2000" w:type="dxa"/>
            <w:tcBorders>
              <w:top w:val="nil"/>
              <w:left w:val="nil"/>
              <w:bottom w:val="nil"/>
              <w:right w:val="nil"/>
            </w:tcBorders>
            <w:tcMar>
              <w:top w:w="55" w:type="dxa"/>
              <w:left w:w="70" w:type="dxa"/>
              <w:bottom w:w="55" w:type="dxa"/>
              <w:right w:w="70" w:type="dxa"/>
            </w:tcMar>
            <w:vAlign w:val="center"/>
            <w:hideMark/>
          </w:tcPr>
          <w:p w14:paraId="42E93C94" w14:textId="77777777" w:rsidR="00B14FA3" w:rsidRPr="00B14FA3" w:rsidRDefault="00B14FA3" w:rsidP="00B14FA3">
            <w:pPr>
              <w:keepNext/>
              <w:ind w:firstLine="0"/>
              <w:jc w:val="left"/>
            </w:pPr>
            <w:r>
              <w:rPr>
                <w:color w:val="000000"/>
                <w:szCs w:val="21"/>
              </w:rPr>
              <w:t>0.383±0.006</w:t>
            </w:r>
          </w:p>
        </w:tc>
      </w:tr>
      <w:tr w:rsidR="00B10182" w14:paraId="14CFFB90"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2A283DE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64DB8CC0"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5B386AD" w14:textId="77777777" w:rsidR="00B14FA3" w:rsidRPr="00B14FA3" w:rsidRDefault="00B14FA3" w:rsidP="00B14FA3">
            <w:pPr>
              <w:keepNext/>
              <w:ind w:firstLine="0"/>
              <w:jc w:val="left"/>
            </w:pPr>
            <w:r>
              <w:rPr>
                <w:color w:val="000000"/>
                <w:szCs w:val="21"/>
              </w:rPr>
              <w:t>384382</w:t>
            </w:r>
          </w:p>
        </w:tc>
        <w:tc>
          <w:tcPr>
            <w:tcW w:w="2000" w:type="dxa"/>
            <w:tcBorders>
              <w:top w:val="nil"/>
              <w:left w:val="nil"/>
              <w:bottom w:val="nil"/>
              <w:right w:val="nil"/>
            </w:tcBorders>
            <w:tcMar>
              <w:top w:w="55" w:type="dxa"/>
              <w:left w:w="70" w:type="dxa"/>
              <w:bottom w:w="55" w:type="dxa"/>
              <w:right w:w="70" w:type="dxa"/>
            </w:tcMar>
            <w:vAlign w:val="center"/>
            <w:hideMark/>
          </w:tcPr>
          <w:p w14:paraId="63428E63" w14:textId="77777777" w:rsidR="00B14FA3" w:rsidRPr="00B14FA3" w:rsidRDefault="00B14FA3" w:rsidP="00B14FA3">
            <w:pPr>
              <w:keepNext/>
              <w:ind w:firstLine="0"/>
              <w:jc w:val="left"/>
            </w:pPr>
            <w:r>
              <w:rPr>
                <w:color w:val="000000"/>
                <w:szCs w:val="21"/>
              </w:rPr>
              <w:t>0.817±0.024</w:t>
            </w:r>
          </w:p>
        </w:tc>
        <w:tc>
          <w:tcPr>
            <w:tcW w:w="2000" w:type="dxa"/>
            <w:tcBorders>
              <w:top w:val="nil"/>
              <w:left w:val="nil"/>
              <w:bottom w:val="nil"/>
              <w:right w:val="nil"/>
            </w:tcBorders>
            <w:tcMar>
              <w:top w:w="55" w:type="dxa"/>
              <w:left w:w="70" w:type="dxa"/>
              <w:bottom w:w="55" w:type="dxa"/>
              <w:right w:w="70" w:type="dxa"/>
            </w:tcMar>
            <w:vAlign w:val="center"/>
            <w:hideMark/>
          </w:tcPr>
          <w:p w14:paraId="0B5D4941" w14:textId="77777777" w:rsidR="00B14FA3" w:rsidRPr="00B14FA3" w:rsidRDefault="00B14FA3" w:rsidP="00B14FA3">
            <w:pPr>
              <w:keepNext/>
              <w:ind w:firstLine="0"/>
              <w:jc w:val="left"/>
            </w:pPr>
            <w:r>
              <w:rPr>
                <w:color w:val="000000"/>
                <w:szCs w:val="21"/>
              </w:rPr>
              <w:t>0.523±0.014</w:t>
            </w:r>
          </w:p>
        </w:tc>
      </w:tr>
      <w:tr w:rsidR="00B10182" w14:paraId="72F28BC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9F2789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3608F1F4"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1036E0DB"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45CE26A" w14:textId="77777777" w:rsidR="00B14FA3" w:rsidRPr="00B14FA3" w:rsidRDefault="00B14FA3" w:rsidP="00B14FA3">
            <w:pPr>
              <w:keepNext/>
              <w:ind w:firstLine="0"/>
              <w:jc w:val="left"/>
            </w:pPr>
            <w:r>
              <w:rPr>
                <w:color w:val="000000"/>
                <w:szCs w:val="21"/>
              </w:rPr>
              <w:t>0.434±0.051</w:t>
            </w:r>
          </w:p>
        </w:tc>
        <w:tc>
          <w:tcPr>
            <w:tcW w:w="2000" w:type="dxa"/>
            <w:tcBorders>
              <w:top w:val="nil"/>
              <w:left w:val="nil"/>
              <w:bottom w:val="nil"/>
              <w:right w:val="nil"/>
            </w:tcBorders>
            <w:tcMar>
              <w:top w:w="55" w:type="dxa"/>
              <w:left w:w="70" w:type="dxa"/>
              <w:bottom w:w="55" w:type="dxa"/>
              <w:right w:w="70" w:type="dxa"/>
            </w:tcMar>
            <w:vAlign w:val="center"/>
            <w:hideMark/>
          </w:tcPr>
          <w:p w14:paraId="1A66C078" w14:textId="77777777" w:rsidR="00B14FA3" w:rsidRPr="00B14FA3" w:rsidRDefault="00B14FA3" w:rsidP="00B14FA3">
            <w:pPr>
              <w:keepNext/>
              <w:ind w:firstLine="0"/>
              <w:jc w:val="left"/>
            </w:pPr>
            <w:r>
              <w:rPr>
                <w:color w:val="000000"/>
                <w:szCs w:val="21"/>
              </w:rPr>
              <w:t>0.370±0.031</w:t>
            </w:r>
          </w:p>
        </w:tc>
      </w:tr>
    </w:tbl>
    <w:p w14:paraId="5DE8C5AD" w14:textId="77777777" w:rsidR="00B14FA3" w:rsidRPr="00B14FA3" w:rsidRDefault="00B14FA3" w:rsidP="00B14FA3">
      <w:r>
        <w:rPr>
          <w:color w:val="000000"/>
          <w:szCs w:val="21"/>
        </w:rPr>
        <w:t>图2进一步列出了3个随机种子的单次结果。Abilene的3次实验中，本文方法的MSE和MAE均低于DLinear和LightTS。GÉANT中，本文方法相对LightTS仍保持较低误差；与DLinear相比有个别随机种子波动，但3次结果取平均后仍低于DLinear。</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keepNext/>
      </w:pPr>
      <w:r>
        <w:drawing>
          <wp:inline xmlns:a="http://schemas.openxmlformats.org/drawingml/2006/main" xmlns:pic="http://schemas.openxmlformats.org/drawingml/2006/picture">
            <wp:extent cx="5074920" cy="3749116"/>
            <wp:docPr id="23" name="图2 三随机种子外部基线配对结果" descr="Abilene和GÉANT上DLinear、LightTS与本文方法在seed42至44下的MSE和MAE配对结果；方形、圆形和三角形分别表示seed42、43和44，实线连接三种子均值。"/>
            <wp:cNvGraphicFramePr>
              <a:graphicFrameLocks noChangeAspect="1"/>
            </wp:cNvGraphicFramePr>
            <a:graphic>
              <a:graphicData uri="http://schemas.openxmlformats.org/drawingml/2006/picture">
                <pic:pic>
                  <pic:nvPicPr>
                    <pic:cNvPr id="0" name="fig2_external_baseline_reduction_color.png"/>
                    <pic:cNvPicPr/>
                  </pic:nvPicPr>
                  <pic:blipFill>
                    <a:blip r:embed="rId15"/>
                    <a:stretch>
                      <a:fillRect/>
                    </a:stretch>
                  </pic:blipFill>
                  <pic:spPr>
                    <a:xfrm>
                      <a:off x="0" y="0"/>
                      <a:ext cx="5074920" cy="3749116"/>
                    </a:xfrm>
                    <a:prstGeom prst="rect"/>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图2 Abilene与GÉANT上三随机种子外部基线配对结果</w:t>
      </w:r>
    </w:p>
    <w:p w14:paraId="45F47835"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2.4 </w:t>
      </w:r>
      <w:r>
        <w:rPr>
          <w:rFonts w:ascii="Arial" w:eastAsia="黑体" w:hAnsi="Arial"/>
          <w:b/>
          <w:bCs/>
          <w:color w:val="000000"/>
          <w:szCs w:val="21"/>
        </w:rPr>
        <w:t>八随机种子核心消融与稳定性</w:t>
      </w:r>
    </w:p>
    <w:p w14:paraId="4EB4547B" w14:textId="77777777" w:rsidR="00B14FA3" w:rsidRPr="00B14FA3" w:rsidRDefault="00B14FA3" w:rsidP="00B14FA3">
      <w:r>
        <w:rPr>
          <w:color w:val="000000"/>
          <w:szCs w:val="21"/>
        </w:rPr>
        <w:t>表3把核心模型的重复实验扩展到8个随机种子。相对DLinear，本文方法在Abilene和GÉANT上的平均MSE分别降低2.77%和2.37%。固定等权模型已经包含相同的3个DLinear尺度专家，因此更能直接反映路由权重的影响；在该模型基础上，本文方法的MSE继续降低1.67%和4.68%。</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719DA9B"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3 </w:t>
      </w:r>
      <w:r>
        <w:rPr>
          <w:rFonts w:eastAsia="黑体"/>
          <w:b/>
          <w:color w:val="000000"/>
          <w:sz w:val="18"/>
        </w:rPr>
        <w:t>八随机种子核心模型结果</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3DA1AD1C"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35E46A0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6C4D3AF"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17F99015"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C192F3F"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4D3677E0" w14:textId="77777777" w:rsidR="00B14FA3" w:rsidRPr="00B14FA3" w:rsidRDefault="00B14FA3" w:rsidP="00B14FA3">
            <w:pPr>
              <w:keepNext/>
              <w:ind w:firstLine="0"/>
              <w:jc w:val="center"/>
            </w:pPr>
            <w:r>
              <w:rPr>
                <w:b/>
                <w:color w:val="000000"/>
                <w:szCs w:val="21"/>
              </w:rPr>
              <w:t>MAE</w:t>
            </w:r>
          </w:p>
        </w:tc>
      </w:tr>
      <w:tr w:rsidR="00B10182" w14:paraId="74FD5207"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7E7AD1C0"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8CDB700"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16F24568"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675D686B"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057BAF36" w14:textId="77777777" w:rsidR="00B14FA3" w:rsidRPr="00B14FA3" w:rsidRDefault="00B14FA3" w:rsidP="00B14FA3">
            <w:pPr>
              <w:keepNext/>
              <w:ind w:firstLine="0"/>
              <w:jc w:val="left"/>
            </w:pPr>
            <w:r>
              <w:rPr>
                <w:color w:val="000000"/>
                <w:szCs w:val="21"/>
              </w:rPr>
              <w:t>0.189±0.008</w:t>
            </w:r>
          </w:p>
        </w:tc>
      </w:tr>
      <w:tr w:rsidR="00B10182" w14:paraId="1610B71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540C537"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10DA8D66"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2B6F414C"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6628BFC6" w14:textId="77777777" w:rsidR="00B14FA3" w:rsidRPr="00B14FA3" w:rsidRDefault="00B14FA3" w:rsidP="00B14FA3">
            <w:pPr>
              <w:keepNext/>
              <w:ind w:firstLine="0"/>
              <w:jc w:val="left"/>
            </w:pPr>
            <w:r>
              <w:rPr>
                <w:color w:val="000000"/>
                <w:szCs w:val="21"/>
              </w:rPr>
              <w:t>0.192±0.002</w:t>
            </w:r>
          </w:p>
        </w:tc>
        <w:tc>
          <w:tcPr>
            <w:tcW w:w="2000" w:type="dxa"/>
            <w:tcBorders>
              <w:top w:val="nil"/>
              <w:left w:val="nil"/>
              <w:bottom w:val="nil"/>
              <w:right w:val="nil"/>
            </w:tcBorders>
            <w:tcMar>
              <w:top w:w="55" w:type="dxa"/>
              <w:left w:w="70" w:type="dxa"/>
              <w:bottom w:w="55" w:type="dxa"/>
              <w:right w:w="70" w:type="dxa"/>
            </w:tcMar>
            <w:vAlign w:val="center"/>
            <w:hideMark/>
          </w:tcPr>
          <w:p w14:paraId="4451ED7D" w14:textId="77777777" w:rsidR="00B14FA3" w:rsidRPr="00B14FA3" w:rsidRDefault="00B14FA3" w:rsidP="00B14FA3">
            <w:pPr>
              <w:keepNext/>
              <w:ind w:firstLine="0"/>
              <w:jc w:val="left"/>
            </w:pPr>
            <w:r>
              <w:rPr>
                <w:color w:val="000000"/>
                <w:szCs w:val="21"/>
              </w:rPr>
              <w:t>0.191±0.006</w:t>
            </w:r>
          </w:p>
        </w:tc>
      </w:tr>
      <w:tr w:rsidR="00B10182" w14:paraId="23DB7E9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A4CCFA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FC76C3A"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08F9AC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5031967D" w14:textId="77777777" w:rsidR="00B14FA3" w:rsidRPr="00B14FA3" w:rsidRDefault="00B14FA3" w:rsidP="00B14FA3">
            <w:pPr>
              <w:keepNext/>
              <w:ind w:firstLine="0"/>
              <w:jc w:val="left"/>
            </w:pPr>
            <w:r>
              <w:rPr>
                <w:color w:val="000000"/>
                <w:szCs w:val="21"/>
              </w:rPr>
              <w:t>0.189±0.003</w:t>
            </w:r>
          </w:p>
        </w:tc>
        <w:tc>
          <w:tcPr>
            <w:tcW w:w="2000" w:type="dxa"/>
            <w:tcBorders>
              <w:top w:val="nil"/>
              <w:left w:val="nil"/>
              <w:bottom w:val="nil"/>
              <w:right w:val="nil"/>
            </w:tcBorders>
            <w:tcMar>
              <w:top w:w="55" w:type="dxa"/>
              <w:left w:w="70" w:type="dxa"/>
              <w:bottom w:w="55" w:type="dxa"/>
              <w:right w:w="70" w:type="dxa"/>
            </w:tcMar>
            <w:vAlign w:val="center"/>
            <w:hideMark/>
          </w:tcPr>
          <w:p w14:paraId="19671D4B" w14:textId="77777777" w:rsidR="00B14FA3" w:rsidRPr="00B14FA3" w:rsidRDefault="00B14FA3" w:rsidP="00B14FA3">
            <w:pPr>
              <w:keepNext/>
              <w:ind w:firstLine="0"/>
              <w:jc w:val="left"/>
            </w:pPr>
            <w:r>
              <w:rPr>
                <w:color w:val="000000"/>
                <w:szCs w:val="21"/>
              </w:rPr>
              <w:t>0.173±0.008</w:t>
            </w:r>
          </w:p>
        </w:tc>
      </w:tr>
      <w:tr w:rsidR="00B10182" w14:paraId="56D06F3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6945779"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73EC9705"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566A8164"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4EF2CCCB" w14:textId="77777777" w:rsidR="00B14FA3" w:rsidRPr="00B14FA3" w:rsidRDefault="00B14FA3" w:rsidP="00B14FA3">
            <w:pPr>
              <w:keepNext/>
              <w:ind w:firstLine="0"/>
              <w:jc w:val="left"/>
            </w:pPr>
            <w:r>
              <w:rPr>
                <w:color w:val="000000"/>
                <w:szCs w:val="21"/>
              </w:rPr>
              <w:t>0.437±0.016</w:t>
            </w:r>
          </w:p>
        </w:tc>
        <w:tc>
          <w:tcPr>
            <w:tcW w:w="2000" w:type="dxa"/>
            <w:tcBorders>
              <w:top w:val="nil"/>
              <w:left w:val="nil"/>
              <w:bottom w:val="nil"/>
              <w:right w:val="nil"/>
            </w:tcBorders>
            <w:tcMar>
              <w:top w:w="55" w:type="dxa"/>
              <w:left w:w="70" w:type="dxa"/>
              <w:bottom w:w="55" w:type="dxa"/>
              <w:right w:w="70" w:type="dxa"/>
            </w:tcMar>
            <w:vAlign w:val="center"/>
            <w:hideMark/>
          </w:tcPr>
          <w:p w14:paraId="53A75E10" w14:textId="77777777" w:rsidR="00B14FA3" w:rsidRPr="00B14FA3" w:rsidRDefault="00B14FA3" w:rsidP="00B14FA3">
            <w:pPr>
              <w:keepNext/>
              <w:ind w:firstLine="0"/>
              <w:jc w:val="left"/>
            </w:pPr>
            <w:r>
              <w:rPr>
                <w:color w:val="000000"/>
                <w:szCs w:val="21"/>
              </w:rPr>
              <w:t>0.371±0.011</w:t>
            </w:r>
          </w:p>
        </w:tc>
      </w:tr>
      <w:tr w:rsidR="00B10182" w14:paraId="66E7B953"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54878CA"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84E9A01"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1A76C9D2"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5A292C45" w14:textId="77777777" w:rsidR="00B14FA3" w:rsidRPr="00B14FA3" w:rsidRDefault="00B14FA3" w:rsidP="00B14FA3">
            <w:pPr>
              <w:keepNext/>
              <w:ind w:firstLine="0"/>
              <w:jc w:val="left"/>
            </w:pPr>
            <w:r>
              <w:rPr>
                <w:color w:val="000000"/>
                <w:szCs w:val="21"/>
              </w:rPr>
              <w:t>0.447±0.014</w:t>
            </w:r>
          </w:p>
        </w:tc>
        <w:tc>
          <w:tcPr>
            <w:tcW w:w="2000" w:type="dxa"/>
            <w:tcBorders>
              <w:top w:val="nil"/>
              <w:left w:val="nil"/>
              <w:bottom w:val="nil"/>
              <w:right w:val="nil"/>
            </w:tcBorders>
            <w:tcMar>
              <w:top w:w="55" w:type="dxa"/>
              <w:left w:w="70" w:type="dxa"/>
              <w:bottom w:w="55" w:type="dxa"/>
              <w:right w:w="70" w:type="dxa"/>
            </w:tcMar>
            <w:vAlign w:val="center"/>
            <w:hideMark/>
          </w:tcPr>
          <w:p w14:paraId="789428A2" w14:textId="77777777" w:rsidR="00B14FA3" w:rsidRPr="00B14FA3" w:rsidRDefault="00B14FA3" w:rsidP="00B14FA3">
            <w:pPr>
              <w:keepNext/>
              <w:ind w:firstLine="0"/>
              <w:jc w:val="left"/>
            </w:pPr>
            <w:r>
              <w:rPr>
                <w:color w:val="000000"/>
                <w:szCs w:val="21"/>
              </w:rPr>
              <w:t>0.377±0.009</w:t>
            </w:r>
          </w:p>
        </w:tc>
      </w:tr>
      <w:tr w:rsidR="00B10182" w14:paraId="25E1F67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2BD8356"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B646072"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4D4C5F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1BB5253" w14:textId="77777777" w:rsidR="00B14FA3" w:rsidRPr="00B14FA3" w:rsidRDefault="00B14FA3" w:rsidP="00B14FA3">
            <w:pPr>
              <w:keepNext/>
              <w:ind w:firstLine="0"/>
              <w:jc w:val="left"/>
            </w:pPr>
            <w:r>
              <w:rPr>
                <w:color w:val="000000"/>
                <w:szCs w:val="21"/>
              </w:rPr>
              <w:t>0.426±0.029</w:t>
            </w:r>
          </w:p>
        </w:tc>
        <w:tc>
          <w:tcPr>
            <w:tcW w:w="2000" w:type="dxa"/>
            <w:tcBorders>
              <w:top w:val="nil"/>
              <w:left w:val="nil"/>
              <w:bottom w:val="nil"/>
              <w:right w:val="nil"/>
            </w:tcBorders>
            <w:tcMar>
              <w:top w:w="55" w:type="dxa"/>
              <w:left w:w="70" w:type="dxa"/>
              <w:bottom w:w="55" w:type="dxa"/>
              <w:right w:w="70" w:type="dxa"/>
            </w:tcMar>
            <w:vAlign w:val="center"/>
            <w:hideMark/>
          </w:tcPr>
          <w:p w14:paraId="2A51F99E" w14:textId="77777777" w:rsidR="00B14FA3" w:rsidRPr="00B14FA3" w:rsidRDefault="00B14FA3" w:rsidP="00B14FA3">
            <w:pPr>
              <w:keepNext/>
              <w:ind w:firstLine="0"/>
              <w:jc w:val="left"/>
            </w:pPr>
            <w:r>
              <w:rPr>
                <w:color w:val="000000"/>
                <w:szCs w:val="21"/>
              </w:rPr>
              <w:t>0.366±0.018</w:t>
            </w:r>
          </w:p>
        </w:tc>
      </w:tr>
    </w:tbl>
    <w:p w14:paraId="68B92BCA" w14:textId="77777777" w:rsidR="00B14FA3" w:rsidRPr="00B14FA3" w:rsidRDefault="00B14FA3" w:rsidP="00B14FA3">
      <w:r>
        <w:rPr>
          <w:color w:val="000000"/>
          <w:szCs w:val="21"/>
        </w:rPr>
        <w:t>图3按相同随机种子比较固定等权模型与本文方法。Abilene的8个随机种子中有6个随机种子取得更低MSE，GÉANT中为7个。两个数据集的平均ΔMSE均为正，与表3给出的均值差异相符。</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2D1C830" w14:textId="77777777" w:rsidR="00B14FA3" w:rsidRPr="00B14FA3" w:rsidRDefault="00B14FA3" w:rsidP="00B14FA3">
      <w:pPr>
        <w:keepNext/>
        <w:spacing w:before="60"/>
        <w:ind w:firstLine="0"/>
        <w:jc w:val="center"/>
      </w:pPr>
      <w:r w:rsidRPr="00B14FA3">
        <w:rPr>
          <w:noProof/>
        </w:rPr>
        <w:drawing>
          <wp:inline distT="0" distB="0" distL="0" distR="0" wp14:anchorId="3E6F0209" wp14:editId="369FDCB1">
            <wp:extent cx="5760720" cy="3852073"/>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852073"/>
                    </a:xfrm>
                    <a:prstGeom prst="rect">
                      <a:avLst/>
                    </a:prstGeom>
                    <a:noFill/>
                    <a:ln>
                      <a:noFill/>
                    </a:ln>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图3 固定等权与自适应权重的八随机种子配对MSE及配对差值分布</w:t>
      </w:r>
      <w:r>
        <w:rPr>
          <w:rFonts w:eastAsia="黑体"/>
          <w:b/>
          <w:sz w:val="18"/>
          <w:szCs w:val="18"/>
        </w:rPr>
      </w:r>
      <w:r>
        <w:rPr>
          <w:rFonts w:eastAsia="黑体"/>
          <w:b/>
          <w:sz w:val="18"/>
          <w:szCs w:val="18"/>
        </w:rPr>
      </w:r>
      <w:r>
        <w:rPr>
          <w:rFonts w:eastAsia="黑体"/>
          <w:b/>
          <w:sz w:val="18"/>
          <w:szCs w:val="18"/>
        </w:rPr>
      </w:r>
    </w:p>
    <w:p w14:paraId="5A0F001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2.5 路由权重分析</w:t>
      </w:r>
      <w:r>
        <w:rPr>
          <w:rFonts w:ascii="Arial" w:eastAsia="黑体" w:hAnsi="Arial"/>
          <w:b/>
          <w:bCs/>
          <w:color w:val="000000"/>
          <w:szCs w:val="21"/>
        </w:rPr>
      </w:r>
    </w:p>
    <w:p w14:paraId="0C8325AF" w14:textId="77777777" w:rsidR="00B14FA3" w:rsidRPr="00B14FA3" w:rsidRDefault="00B14FA3" w:rsidP="00B14FA3">
      <w:r>
        <w:rPr>
          <w:color w:val="000000"/>
          <w:szCs w:val="21"/>
        </w:rPr>
        <w:t>图4汇总了随机种子42—49下全部测试窗口的尺度权重。与固定的1/3权重不同，路由网络输出会随输入窗口变化，因此这里统计的是各尺度在测试集上的整体分布。</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pPr>
      <w:r>
        <w:drawing>
          <wp:inline xmlns:a="http://schemas.openxmlformats.org/drawingml/2006/main" xmlns:pic="http://schemas.openxmlformats.org/drawingml/2006/picture">
            <wp:extent cx="5760720" cy="2566165"/>
            <wp:docPr id="22" name="Picture 22"/>
            <wp:cNvGraphicFramePr>
              <a:graphicFrameLocks noChangeAspect="1"/>
            </wp:cNvGraphicFramePr>
            <a:graphic>
              <a:graphicData uri="http://schemas.openxmlformats.org/drawingml/2006/picture">
                <pic:pic>
                  <pic:nvPicPr>
                    <pic:cNvPr id="0" name="fig3_router_weight_distribution_color.png"/>
                    <pic:cNvPicPr/>
                  </pic:nvPicPr>
                  <pic:blipFill>
                    <a:blip r:embed="rId13"/>
                    <a:stretch>
                      <a:fillRect/>
                    </a:stretch>
                  </pic:blipFill>
                  <pic:spPr>
                    <a:xfrm>
                      <a:off x="0" y="0"/>
                      <a:ext cx="5760720" cy="2566165"/>
                    </a:xfrm>
                    <a:prstGeom prst="rect"/>
                  </pic:spPr>
                </pic:pic>
              </a:graphicData>
            </a:graphic>
          </wp:inline>
        </w:drawing>
      </w:r>
    </w:p>
    <w:p>
      <w:pPr>
        <w:keepLines/>
        <w:spacing w:before="60" w:after="80"/>
        <w:ind w:firstLine="0"/>
        <w:jc w:val="center"/>
      </w:pPr>
      <w:r>
        <w:rPr>
          <w:rFonts w:eastAsia="黑体"/>
          <w:b/>
          <w:sz w:val="18"/>
          <w:szCs w:val="18"/>
        </w:rPr>
        <w:t>图4 八随机种子下样本级自适应路由权重分布</w:t>
      </w:r>
    </w:p>
    <w:p>
      <w:pPr/>
      <w:r>
        <w:rPr>
          <w:color w:val="000000"/>
          <w:szCs w:val="21"/>
        </w:rPr>
        <w:t>Abilene中α1、α2和α4的平均权重分别为0.257、0.319和0.424；GÉANT中分别为0.283、0.318和0.399。两个数据集都表现为尺度4的平均权重最高，尺度1最低。对于本文设置的24步预测任务，较粗尺度的趋势信息占比较大，但另外两个尺度并未被路由器舍弃。</w:t>
      </w:r>
    </w:p>
    <w:p w14:paraId="2B7D35DC" w14:textId="77777777" w:rsidR="00B14FA3" w:rsidRPr="00B14FA3" w:rsidRDefault="00B14FA3" w:rsidP="00B14FA3">
      <w:r>
        <w:rPr>
          <w:color w:val="000000"/>
          <w:szCs w:val="21"/>
        </w:rPr>
        <w:t>表2和图2反映了本文方法与外部基线的误差差异，表3与图3则比较了固定等权和自适应加权。两组结果的变化方向基本一致。结合图4可见，3个尺度在测试样本中并非保持相同占比，路由器会改变各尺度参与最终预测的程度。</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D87F86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6450C208" w14:textId="77777777" w:rsidR="00B14FA3" w:rsidRPr="00B14FA3" w:rsidRDefault="00B14FA3" w:rsidP="00B14FA3">
      <w:r>
        <w:rPr>
          <w:color w:val="000000"/>
          <w:szCs w:val="21"/>
        </w:rPr>
        <w:t>本文针对骨干网络OD流量的多时间尺度变化，构建了样本级自适应多尺度预测方法。尺度1、2和4的序列分别由DLinear专家预测，轻量路由网络根据输入窗口统计量给出融合权重。Abilene和GÉANT上的结果显示，相比DLinear、LightTS和固定等权多尺度模型，本文方法的平均预测误差更低。路由权重在3个尺度间呈现不同分布，说明固定等权并非唯一的融合方式。整个路由模块仅增加131个参数，可在较小模型增量下实现多尺度预测结果的动态融合。</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930A59F"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t>参考文献</w:t>
      </w:r>
    </w:p>
    <w:p w14:paraId="2A4E69C7"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D3CC6CB"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3FA328D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7163C5A8"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1BA2A549" w14:textId="77777777" w:rsidR="00B14FA3" w:rsidRPr="00B14FA3" w:rsidRDefault="00B14FA3" w:rsidP="00B14FA3">
      <w:pPr>
        <w:ind w:left="420" w:hanging="420"/>
      </w:pPr>
      <w:r>
        <w:rPr>
          <w:sz w:val="18"/>
        </w:rPr>
        <w:t>[5] WANG S, WU H, SHI X, et al. TimeMixer: decomposable multiscale mixing for time series forecasting[C]//International Conference on Learning Representations. 2024.</w:t>
      </w:r>
    </w:p>
    <w:p w14:paraId="32B65309" w14:textId="77777777" w:rsidR="00B14FA3" w:rsidRPr="00B14FA3" w:rsidRDefault="00B14FA3" w:rsidP="00B14FA3">
      <w:pPr>
        <w:ind w:left="420" w:hanging="420"/>
      </w:pPr>
      <w:r>
        <w:rPr>
          <w:sz w:val="18"/>
        </w:rPr>
        <w:t>[6] ZHANG T, ZHANG Y, CAO W, et al. Less is more: fast multivariate time series forecasting with light sampling-oriented MLP structures[EB/OL]. (2022-07-04)[2026-09-20]. https://arxiv.org/abs/2207.01186. DOI: 10.48550/arXiv.2207.01186.</w:t>
      </w:r>
    </w:p>
    <w:p w14:paraId="32B65309" w14:textId="77777777" w:rsidR="00B14FA3" w:rsidRPr="00B14FA3" w:rsidRDefault="00B14FA3" w:rsidP="00B14FA3">
      <w:pPr>
        <w:ind w:left="420" w:hanging="420"/>
      </w:pPr>
      <w:r>
        <w:rPr>
          <w:sz w:val="18"/>
        </w:rPr>
        <w:t>[7] KUREŠ M, KOUMAR J, HYNEK K. CESNET TS-Zoo: a library for reproducible analysis of network traffic time series[C]//2025 21st International Conference on Network and Service Management. 2025. DOI: 10.23919/CNSM67658.2025.11297513.</w:t>
      </w:r>
    </w:p>
    <w:p w14:paraId="32B65309" w14:textId="77777777" w:rsidR="00B14FA3" w:rsidRPr="00B14FA3" w:rsidRDefault="00B14FA3" w:rsidP="00B14FA3">
      <w:pPr>
        <w:ind w:left="420" w:hanging="420"/>
      </w:pPr>
      <w:r>
        <w:rPr>
          <w:sz w:val="18"/>
        </w:rPr>
        <w:t>[8] ZHANG Y, ROUGHAN M, DUFFIELD N, et al. Fast accurate computation of large-scale IP traffic matrices from link loads[J]. ACM SIGMETRICS Performance Evaluation Review, 2003, 31(1): 206-217. DOI: 10.1145/885651.781053.</w:t>
      </w:r>
    </w:p>
    <w:p w14:paraId="32B65309" w14:textId="77777777" w:rsidR="00B14FA3" w:rsidRPr="00B14FA3" w:rsidRDefault="00B14FA3" w:rsidP="00B14FA3">
      <w:pPr>
        <w:ind w:left="420" w:hanging="420"/>
      </w:pPr>
      <w:r>
        <w:rPr>
          <w:sz w:val="18"/>
        </w:rPr>
        <w:t>[9] UHLIG S, QUOITIN B, LEPROPRE J, et al. Providing public intradomain traffic matrices to the research community[J]. ACM SIGCOMM Computer Communication Review, 2006, 36(1): 83-86. DOI: 10.1145/1111322.1111341.</w:t>
      </w:r>
    </w:p>
    <w:p w14:paraId="49ABA0AF" w14:textId="77777777" w:rsidR="00B14FA3" w:rsidRPr="00B14FA3" w:rsidRDefault="00B14FA3" w:rsidP="00B14FA3">
      <w:pPr>
        <w:ind w:left="420" w:hanging="420"/>
      </w:pPr>
      <w:r>
        <w:rPr>
          <w:sz w:val="18"/>
        </w:rPr>
        <w:t>[10] 韦烜, 刘志华, 李青, 等. 大型IP网络流量矩阵分析预测的探讨研究[J]. 系统工程与电子技术, 2024, 46(6): 2164-2173. DOI: 10.12305/j.issn.1001-506X.2024.06.35.</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p w14:paraId="58403822" w14:textId="77777777" w:rsidR="00B14FA3" w:rsidRPr="00B14FA3" w:rsidRDefault="00B14FA3" w:rsidP="00B14FA3">
      <w:pPr>
        <w:ind w:left="420" w:hanging="420"/>
      </w:pPr>
      <w:r>
        <w:rPr>
          <w:sz w:val="18"/>
        </w:rPr>
        <w:t>[11] 唐文杰, 肖一磊, 孔祥宇, 等. CycleLLH：一种基于周期性整合的新型网络流量预测模型[J]. 计算机学报, 2024, 47(12): 2867-2888. DOI: 10.11897/SP.J.1016.2024.02867.</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bookmarkEnd w:id="1"/>
    <w:sectPr w:rsidR="003E35DB" w:rsidRPr="00B14FA3" w:rsidSect="00F23B67">
      <w:headerReference w:type="default" r:id="rId9"/>
      <w:footerReference w:type="first" r:id="rId10"/>
      <w:pgSz w:w="11906" w:h="16838"/>
      <w:pgMar w:top="1757" w:right="1134" w:bottom="1417" w:left="1134"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EBF2" w14:textId="77777777" w:rsidR="00E407AF" w:rsidRDefault="00E407AF" w:rsidP="00F23B67">
      <w:r>
        <w:separator/>
      </w:r>
    </w:p>
  </w:endnote>
  <w:endnote w:type="continuationSeparator" w:id="0">
    <w:p w14:paraId="2C78B4FB" w14:textId="77777777" w:rsidR="00E407AF" w:rsidRDefault="00E407AF"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1DB3E" w14:textId="77777777" w:rsidR="00F23B67" w:rsidRDefault="00F23B67">
    <w:pPr>
      <w:jc w:val="left"/>
    </w:pPr>
    <w:r>
      <w:rPr>
        <w:sz w:val="16"/>
      </w:rPr>
      <w:t>收稿日期：</w:t>
    </w:r>
    <w:r>
      <w:rPr>
        <w:sz w:val="16"/>
      </w:rPr>
      <w:t>[</w:t>
    </w:r>
    <w:r>
      <w:rPr>
        <w:sz w:val="16"/>
      </w:rPr>
      <w:t>请填写，格式</w:t>
    </w:r>
    <w:r>
      <w:rPr>
        <w:sz w:val="16"/>
      </w:rPr>
      <w:t>YYYY-MM-DD]</w:t>
    </w:r>
  </w:p>
  <w:p w14:paraId="66649098"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w:t>
    </w:r>
  </w:p>
  <w:p w14:paraId="3B0C0477"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w:t>
    </w:r>
  </w:p>
  <w:p w14:paraId="57141CA0"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，电子邮箱：</w:t>
    </w:r>
    <w:r>
      <w:rPr>
        <w:sz w:val="16"/>
      </w:rPr>
      <w:t>[</w:t>
    </w:r>
    <w:r>
      <w:rPr>
        <w:sz w:val="16"/>
      </w:rPr>
      <w:t>邮箱</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A2D67" w14:textId="77777777" w:rsidR="00E407AF" w:rsidRDefault="00E407AF" w:rsidP="00F23B67">
      <w:r>
        <w:separator/>
      </w:r>
    </w:p>
  </w:footnote>
  <w:footnote w:type="continuationSeparator" w:id="0">
    <w:p w14:paraId="5084105F" w14:textId="77777777" w:rsidR="00E407AF" w:rsidRDefault="00E407AF"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F2B7"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245F58"/>
    <w:rsid w:val="003341C1"/>
    <w:rsid w:val="0034143A"/>
    <w:rsid w:val="003B1B14"/>
    <w:rsid w:val="003E35DB"/>
    <w:rsid w:val="005032D3"/>
    <w:rsid w:val="006309B6"/>
    <w:rsid w:val="00662C25"/>
    <w:rsid w:val="00790E2F"/>
    <w:rsid w:val="009A3654"/>
    <w:rsid w:val="00B10182"/>
    <w:rsid w:val="00B14FA3"/>
    <w:rsid w:val="00B15C9D"/>
    <w:rsid w:val="00D21814"/>
    <w:rsid w:val="00D32DC3"/>
    <w:rsid w:val="00D53327"/>
    <w:rsid w:val="00D537D7"/>
    <w:rsid w:val="00DD4A44"/>
    <w:rsid w:val="00E407AF"/>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A87B8"/>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1601</Words>
  <Characters>9127</Characters>
  <Application>Microsoft Office Word</Application>
  <DocSecurity>0</DocSecurity>
  <Lines>76</Lines>
  <Paragraphs>21</Paragraphs>
  <ScaleCrop>false</ScaleCrop>
  <Company/>
  <LinksUpToDate>false</LinksUpToDate>
  <CharactersWithSpaces>10707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1</cp:revision>
  <dcterms:created xsi:type="dcterms:W3CDTF">2026-09-15T14:23:00Z</dcterms:created>
  <dcterms:modified xsi:type="dcterms:W3CDTF">2026-09-20T12:33:00Z</dcterms:modified>
</cp:coreProperties>
</file>