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9A33F" w14:textId="77777777" w:rsidR="00B14FA3" w:rsidRPr="00B14FA3" w:rsidRDefault="00B14FA3" w:rsidP="00B14FA3">
      <w:pPr>
        <w:spacing w:after="60"/>
        <w:ind w:firstLine="0"/>
        <w:jc w:val="center"/>
      </w:pPr>
      <w:bookmarkStart w:id="0" w:name="OLE_LINK1"/>
      <w:r w:rsidRPr="00B14FA3">
        <w:rPr>
          <w:rFonts w:ascii="Arial" w:eastAsia="黑体" w:hAnsi="Arial" w:cs="Arial"/>
          <w:b/>
          <w:color w:val="000000"/>
          <w:sz w:val="36"/>
          <w:szCs w:val="36"/>
        </w:rPr>
        <w:t>基于自适应多尺度加权的多变量网络流量预测方法</w:t>
      </w:r>
    </w:p>
    <w:bookmarkEnd w:id="0"/>
    <w:p w14:paraId="57D86241" w14:textId="77777777" w:rsidR="00B14FA3" w:rsidRPr="00B14FA3" w:rsidRDefault="00B14FA3" w:rsidP="00B14FA3">
      <w:pPr>
        <w:ind w:firstLine="0"/>
        <w:jc w:val="center"/>
      </w:pPr>
      <w:r w:rsidRPr="00B14FA3">
        <w:rPr>
          <w:rFonts w:ascii="楷体" w:eastAsia="楷体" w:hAnsi="楷体" w:cs="楷体"/>
          <w:color w:val="000000"/>
          <w:szCs w:val="21"/>
        </w:rPr>
        <w:t>[请填写作者姓名]</w:t>
      </w:r>
    </w:p>
    <w:p w14:paraId="233E4490" w14:textId="77777777" w:rsidR="00B14FA3" w:rsidRPr="00B14FA3" w:rsidRDefault="00B14FA3" w:rsidP="00B14FA3">
      <w:pPr>
        <w:ind w:firstLine="0"/>
        <w:jc w:val="center"/>
      </w:pP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请填写工作单位</w:t>
      </w:r>
      <w:r w:rsidRPr="00B14FA3">
        <w:rPr>
          <w:rFonts w:eastAsia="楷体"/>
          <w:color w:val="000000"/>
          <w:sz w:val="18"/>
          <w:szCs w:val="18"/>
        </w:rPr>
        <w:t>] [</w:t>
      </w:r>
      <w:r w:rsidRPr="00B14FA3">
        <w:rPr>
          <w:rFonts w:eastAsia="楷体"/>
          <w:color w:val="000000"/>
          <w:sz w:val="18"/>
          <w:szCs w:val="18"/>
        </w:rPr>
        <w:t>请填写部门</w:t>
      </w: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省</w:t>
      </w:r>
      <w:r w:rsidRPr="00B14FA3">
        <w:rPr>
          <w:rFonts w:eastAsia="楷体"/>
          <w:color w:val="000000"/>
          <w:sz w:val="18"/>
          <w:szCs w:val="18"/>
        </w:rPr>
        <w:t xml:space="preserve"> </w:t>
      </w:r>
      <w:r w:rsidRPr="00B14FA3">
        <w:rPr>
          <w:rFonts w:eastAsia="楷体"/>
          <w:color w:val="000000"/>
          <w:sz w:val="18"/>
          <w:szCs w:val="18"/>
        </w:rPr>
        <w:t>市</w:t>
      </w:r>
      <w:r w:rsidRPr="00B14FA3">
        <w:rPr>
          <w:rFonts w:eastAsia="楷体"/>
          <w:color w:val="000000"/>
          <w:sz w:val="18"/>
          <w:szCs w:val="18"/>
        </w:rPr>
        <w:t xml:space="preserve"> </w:t>
      </w:r>
      <w:r w:rsidRPr="00B14FA3">
        <w:rPr>
          <w:rFonts w:eastAsia="楷体"/>
          <w:color w:val="000000"/>
          <w:sz w:val="18"/>
          <w:szCs w:val="18"/>
        </w:rPr>
        <w:t>邮编</w:t>
      </w:r>
      <w:r w:rsidRPr="00B14FA3">
        <w:rPr>
          <w:rFonts w:eastAsia="楷体"/>
          <w:color w:val="000000"/>
          <w:sz w:val="18"/>
          <w:szCs w:val="18"/>
        </w:rPr>
        <w:t>]</w:t>
      </w:r>
      <w:r w:rsidRPr="00B14FA3">
        <w:rPr>
          <w:rFonts w:eastAsia="楷体"/>
          <w:color w:val="000000"/>
          <w:sz w:val="18"/>
          <w:szCs w:val="18"/>
        </w:rPr>
        <w:t>）</w:t>
      </w:r>
    </w:p>
    <w:p w14:paraId="26D8FFD6" w14:textId="77777777" w:rsidR="00B14FA3" w:rsidRPr="00B14FA3" w:rsidRDefault="00B14FA3" w:rsidP="00B14FA3">
      <w:r>
        <w:rPr>
          <w:b/>
          <w:bCs/>
          <w:color w:val="000000"/>
        </w:rPr>
        <w:t>摘要：骨干网络源—目的节点对流量具有明显的时变性和多时间尺度特征，不同时间尺度在不同流量状态下的作用并不相同。针对固定尺度模型难以灵活利用这些信息的问题，提出一种样本级自适应多尺度预测方法。方法采用尺度1、2和4的非重叠平均池化构造多分辨率序列，各尺度分别由DLinear专家进行预测；同时从输入窗口提取均值、标准差、末时刻均值和平均绝对一阶差分，经轻量路由网络得到Softmax尺度权重，并据此融合各尺度预测结果。实验在Abilene和GÉANT两个骨干网流量数据集上进行。3个共同随机种子下，所提方法的MSE相对DLinear分别降低4.06%和4.43%，相对LightTS分别降低29.89%和46.83%；8个随机种子的消融实验中，相对固定等权融合分别降低1.67%和4.68%。结果显示，在仅增加少量参数的情况下，自适应尺度加权可以更充分地利用不同时间尺度的信息，从而改善多变量网络流量预测精度。</w:t>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p>
    <w:p w14:paraId="6DDB7F12" w14:textId="77777777" w:rsidR="00B14FA3" w:rsidRPr="00B14FA3" w:rsidRDefault="00B14FA3" w:rsidP="00B14FA3">
      <w:pPr>
        <w:ind w:firstLine="0"/>
      </w:pPr>
      <w:r>
        <w:rPr>
          <w:rFonts w:eastAsia="黑体"/>
          <w:b/>
        </w:rPr>
        <w:t>关键词：</w:t>
      </w:r>
      <w:r>
        <w:t>网络流量预测；多变量时间序列；多尺度学习；自适应加权；</w:t>
      </w:r>
      <w:r>
        <w:t>DLinear</w:t>
      </w:r>
    </w:p>
    <w:p w14:paraId="18A6B693" w14:textId="77777777" w:rsidR="00B14FA3" w:rsidRPr="00B14FA3" w:rsidRDefault="00B14FA3" w:rsidP="00B14FA3">
      <w:pPr>
        <w:ind w:firstLine="0"/>
      </w:pPr>
      <w:r w:rsidRPr="00B14FA3">
        <w:rPr>
          <w:rFonts w:eastAsia="黑体"/>
          <w:b/>
        </w:rPr>
        <w:t>中图分类号：</w:t>
      </w:r>
      <w:r w:rsidRPr="00B14FA3">
        <w:t>TP393</w:t>
      </w:r>
      <w:r w:rsidRPr="00B14FA3">
        <w:t xml:space="preserve">　　</w:t>
      </w:r>
      <w:r w:rsidRPr="00B14FA3">
        <w:rPr>
          <w:rFonts w:eastAsia="黑体"/>
          <w:b/>
        </w:rPr>
        <w:t>文献标志码：</w:t>
      </w:r>
      <w:r w:rsidRPr="00B14FA3">
        <w:t>A</w:t>
      </w:r>
    </w:p>
    <w:p w14:paraId="4EB6E192" w14:textId="77777777" w:rsidR="00B14FA3" w:rsidRPr="00B14FA3" w:rsidRDefault="00B14FA3" w:rsidP="00B14FA3">
      <w:pPr>
        <w:spacing w:after="60"/>
        <w:ind w:firstLine="0"/>
        <w:jc w:val="center"/>
      </w:pPr>
      <w:r w:rsidRPr="00B14FA3">
        <w:rPr>
          <w:rFonts w:eastAsia="黑体"/>
          <w:b/>
          <w:sz w:val="28"/>
        </w:rPr>
        <w:t>A Multivariate Network Traffic Forecasting Method Based on Adaptive Multiscale Weighting</w:t>
      </w:r>
    </w:p>
    <w:p w14:paraId="58F87268" w14:textId="77777777" w:rsidR="00B14FA3" w:rsidRPr="00B14FA3" w:rsidRDefault="00B14FA3" w:rsidP="00B14FA3">
      <w:pPr>
        <w:ind w:firstLine="0"/>
        <w:jc w:val="center"/>
      </w:pPr>
      <w:r w:rsidRPr="00B14FA3">
        <w:t>[Author Name]</w:t>
      </w:r>
    </w:p>
    <w:p w14:paraId="4E49EDDA" w14:textId="77777777" w:rsidR="00B14FA3" w:rsidRPr="00B14FA3" w:rsidRDefault="00B14FA3" w:rsidP="00B14FA3">
      <w:pPr>
        <w:jc w:val="center"/>
      </w:pPr>
      <w:r w:rsidRPr="00B14FA3">
        <w:t>([Affiliation] [Department], [City] [Postcode], China; Corresponding author: [Name], E-mail: [E-mail])</w:t>
      </w:r>
    </w:p>
    <w:p w14:paraId="05369785" w14:textId="77777777" w:rsidR="00B14FA3" w:rsidRPr="00B14FA3" w:rsidRDefault="00B14FA3" w:rsidP="00B14FA3">
      <w:r>
        <w:rPr>
          <w:rFonts w:eastAsia="Times New Roman"/>
          <w:b/>
          <w:bCs/>
          <w:color w:val="000000"/>
        </w:rPr>
        <w:t>Abstract: Backbone origin-destination (OD) traffic varies over time and contains information at multiple temporal scales. The contribution of each scale also changes with the current traffic state, which limits fixed-scale forecasting models. To address this issue, a sample-wise adaptive multiscale forecasting method is developed. Non-overlapping average pooling at scales 1, 2, and 4 is used to form multiresolution sequences, and a separate DLinear expert produces a forecast at each scale. Meanwhile, the mean, standard deviation, latest-step mean, and mean absolute first difference of the input window are fed into a lightweight routing network. The resulting Softmax weights are then used to combine the forecasts from the three scales. Experiments are conducted on the Abilene and GÉANT backbone traffic datasets. With three common random seeds, the method reduces MSE by 4.06% and 4.43% relative to DLinear, and by 29.89% and 46.83% relative to LightTS. In the eight-seed ablation experiment, the MSE reductions over fixed equal weighting are 1.67% and 4.68%, respectively. The results indicate that adaptive scale weighting can make better use of complementary temporal information while introducing only a small number of additional parameters.</w:t>
      </w:r>
      <w:r>
        <w:rPr>
          <w:rFonts w:eastAsia="Times New Roman"/>
          <w:color w:val="000000"/>
        </w:rPr>
      </w:r>
    </w:p>
    <w:p w14:paraId="1A5F7C32" w14:textId="77777777" w:rsidR="00B14FA3" w:rsidRPr="00B14FA3" w:rsidRDefault="00B14FA3" w:rsidP="00B14FA3">
      <w:pPr>
        <w:ind w:firstLine="0"/>
      </w:pPr>
      <w:r>
        <w:rPr>
          <w:rFonts w:eastAsia="Times New Roman"/>
          <w:b/>
          <w:bCs/>
          <w:color w:val="000000"/>
        </w:rPr>
        <w:t xml:space="preserve">Key words: </w:t>
      </w:r>
      <w:r>
        <w:rPr>
          <w:rFonts w:eastAsia="Times New Roman"/>
          <w:color w:val="000000"/>
        </w:rPr>
        <w:t>network traffic forecasting; multivariate time series; multiscale learning; adaptive weighting; DLinear</w:t>
      </w:r>
    </w:p>
    <w:p w14:paraId="5C2C4A73" w14:textId="77777777" w:rsidR="00B14FA3" w:rsidRPr="00B14FA3" w:rsidRDefault="00B14FA3" w:rsidP="00B14FA3">
      <w:pPr>
        <w:rPr>
          <w:color w:val="000000"/>
        </w:rPr>
      </w:pPr>
    </w:p>
    <w:p w14:paraId="2A311823" w14:textId="77777777" w:rsidR="00B14FA3" w:rsidRPr="00B14FA3" w:rsidRDefault="00B14FA3" w:rsidP="00B14FA3">
      <w:pPr>
        <w:rPr>
          <w:color w:val="000000"/>
        </w:rPr>
      </w:pPr>
      <w:r>
        <w:rPr>
          <w:color w:val="000000"/>
          <w:szCs w:val="21"/>
        </w:rPr>
        <w:t>随着云计算、视频业务、数据中心互联及智能网络应用的发展，骨干网络中的业务类型不断增多，流量规模也持续扩大。源—目的节点对（origin-destination，OD）流量随时间变化明显，同时伴有突发和周期性波动。若能够较准确地预测后一时段的OD流量，网络管理系统就可以提前掌握业务变化，为容量规划、拥塞预警、资源调度和流量工程提供参考。因此，网络流量预测的关键之一，是如何从历史序列中提取有效的时间变化特征。</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3877C1F2" w14:textId="77777777" w:rsidR="00B14FA3" w:rsidRPr="00B14FA3" w:rsidRDefault="00B14FA3" w:rsidP="00B14FA3">
      <w:pPr>
        <w:rPr>
          <w:color w:val="000000"/>
        </w:rPr>
      </w:pPr>
      <w:r>
        <w:rPr>
          <w:color w:val="000000"/>
          <w:szCs w:val="21"/>
        </w:rPr>
        <w:t>网络流量预测的研究经历了从统计方法到机器学习、深度学习方法的发展。Lohrasbinasab等[1]对相关方法进行了综述，认为数据驱动模型更适合处理复杂的流量变化。Qin等[2]将图神经网络用于通信网络流量预测，同时考虑空间关联和时间依赖；韦烜等[10]研究了大型IP网络流量矩阵的分析与预测，表明OD流量之间的关联和时间演化都会影响预测结果。对于网络流量中的周期变化，唐文杰等[11]提出CycleLLH模型，将周期性信息引入预测过程。由这些研究可以看出，时间依赖、变量关联和周期变化都是网络流量建模中需要考虑的因素。</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3877C1F2" w14:textId="77777777" w:rsidR="00B14FA3" w:rsidRPr="00B14FA3" w:rsidRDefault="00B14FA3" w:rsidP="00B14FA3">
      <w:pPr>
        <w:rPr>
          <w:color w:val="000000"/>
        </w:rPr>
      </w:pPr>
      <w:r>
        <w:rPr>
          <w:color w:val="000000"/>
          <w:szCs w:val="21"/>
        </w:rPr>
        <w:t>网络流量在不同时间尺度上呈现的特征并不完全相同。细粒度序列保留了较多短时波动，经过平滑后的粗粒度序列则更容易反映整体趋势。Zhou等[3]采用深度回声状态网络开展多尺度网络流量预测，通过不同时间分辨率提取信息。DLinear[4]使用时间序列分解和线性映射完成预测，结构较为简洁；TimeMixer[5]利用多尺度混合机制处理不同分辨率的时间序列；LightTS[6]采用采样导向的MLP结构进行快速多变量时间序列预测。这些方法说明，多尺度信息并不一定需要依赖复杂模型才能发挥作用，如何在轻量结构中组织和利用这些信息仍有研究空间。</w:t>
      </w:r>
    </w:p>
    <w:p w14:paraId="65582279" w14:textId="77777777" w:rsidR="00B14FA3" w:rsidRPr="00B14FA3" w:rsidRDefault="00B14FA3" w:rsidP="00B14FA3">
      <w:pPr>
        <w:rPr>
          <w:color w:val="000000"/>
        </w:rPr>
      </w:pPr>
      <w:r>
        <w:rPr>
          <w:color w:val="000000"/>
          <w:szCs w:val="21"/>
        </w:rPr>
        <w:t>实际骨干网络的流量状态会不断变化，同一个时间尺度并不一定适合所有输入窗口。固定尺度或固定融合比例虽然实现简单，但在流量水平、波动幅度发生变化时，可能无法充分发挥多尺度信息的作用。基于这一考虑，本文在尺度1、2和4上构造多分辨率序列，以DLinear作为各尺度预测专家，并利用输入窗口的统计特征生成样本级尺度权重。所提方法在Abilene和GÉANT两个公开骨干网数据集上进行验证，实验包括基线模型比较、固定等权消融、多随机种子重复实验和路由权重分析。</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012F79B1" w14:textId="77777777" w:rsidR="00B14FA3" w:rsidRPr="00B14FA3" w:rsidRDefault="00B14FA3" w:rsidP="00B14FA3"/>
    <w:p w14:paraId="155C26D6"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ascii="Arial" w:eastAsia="黑体" w:hAnsi="Arial"/>
          <w:b/>
          <w:color w:val="000000"/>
          <w:kern w:val="0"/>
          <w:sz w:val="24"/>
          <w:szCs w:val="20"/>
        </w:rPr>
        <w:t xml:space="preserve">1 </w:t>
      </w:r>
      <w:r w:rsidRPr="00B14FA3">
        <w:rPr>
          <w:rFonts w:ascii="Arial" w:eastAsia="黑体" w:hAnsi="Arial"/>
          <w:b/>
          <w:color w:val="000000"/>
          <w:kern w:val="0"/>
          <w:sz w:val="24"/>
          <w:szCs w:val="20"/>
        </w:rPr>
        <w:t>自适应多尺度网络流量预测方法</w:t>
      </w:r>
    </w:p>
    <w:p w14:paraId="0B4AA7AE" w14:textId="77777777" w:rsidR="00B14FA3" w:rsidRPr="00B14FA3" w:rsidRDefault="00B14FA3" w:rsidP="00B14FA3">
      <w:r>
        <w:rPr>
          <w:color w:val="000000"/>
          <w:szCs w:val="21"/>
        </w:rPr>
        <w:t>本文方法的整体结构如图1所示。原始OD流量完成变换和标准化后，在尺度1、2和4上分别构造输入序列，各尺度序列送入对应的DLinear专家得到预测结果。与此同时，路由网络从当前输入窗口的统计特征中计算尺度权重，再对3个专家的输出进行加权。这样处理后，较细时间尺度中的局部变化和较粗时间尺度中的趋势信息可以同时参与最终预测。</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4A0F6536" w14:textId="77777777" w:rsidR="00B14FA3" w:rsidRPr="00B14FA3" w:rsidRDefault="00B14FA3" w:rsidP="00B14FA3">
      <w:pPr>
        <w:keepNext/>
        <w:spacing w:before="60"/>
        <w:ind w:firstLine="0"/>
        <w:jc w:val="center"/>
      </w:pPr>
      <w:r w:rsidRPr="00B14FA3">
        <w:rPr>
          <w:noProof/>
        </w:rPr>
        <w:drawing>
          <wp:inline distT="0" distB="0" distL="0" distR="0" wp14:anchorId="0702D61E" wp14:editId="2DE249BE">
            <wp:extent cx="5829300" cy="3276600"/>
            <wp:effectExtent l="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29300" cy="3276600"/>
                    </a:xfrm>
                    <a:prstGeom prst="rect">
                      <a:avLst/>
                    </a:prstGeom>
                    <a:noFill/>
                    <a:ln>
                      <a:noFill/>
                    </a:ln>
                  </pic:spPr>
                </pic:pic>
              </a:graphicData>
            </a:graphic>
          </wp:inline>
        </w:drawing>
      </w:r>
    </w:p>
    <w:p w14:paraId="4BAAA424" w14:textId="77777777" w:rsidR="00B14FA3" w:rsidRPr="00B14FA3" w:rsidRDefault="00B14FA3" w:rsidP="00B14FA3">
      <w:pPr>
        <w:keepLines/>
        <w:spacing w:before="60" w:after="80"/>
        <w:ind w:firstLine="0"/>
        <w:jc w:val="center"/>
      </w:pPr>
      <w:r>
        <w:rPr>
          <w:rFonts w:eastAsia="黑体"/>
          <w:b/>
          <w:sz w:val="18"/>
          <w:szCs w:val="18"/>
        </w:rPr>
        <w:t>图</w:t>
      </w:r>
      <w:r>
        <w:rPr>
          <w:rFonts w:eastAsia="黑体"/>
          <w:b/>
          <w:sz w:val="18"/>
          <w:szCs w:val="18"/>
        </w:rPr>
        <w:t xml:space="preserve">1 </w:t>
      </w:r>
      <w:r>
        <w:rPr>
          <w:rFonts w:eastAsia="黑体"/>
          <w:b/>
          <w:sz w:val="18"/>
          <w:szCs w:val="18"/>
        </w:rPr>
        <w:t>自适应多尺度网络流量预测方法框架</w:t>
      </w:r>
    </w:p>
    <w:p w14:paraId="6C67E13A"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ascii="Arial" w:eastAsia="黑体" w:hAnsi="Arial"/>
          <w:b/>
          <w:bCs/>
          <w:color w:val="000000"/>
          <w:szCs w:val="21"/>
        </w:rPr>
        <w:t xml:space="preserve">1.1 </w:t>
      </w:r>
      <w:r w:rsidRPr="00B14FA3">
        <w:rPr>
          <w:rFonts w:eastAsia="黑体"/>
          <w:b/>
          <w:bCs/>
          <w:szCs w:val="21"/>
        </w:rPr>
        <w:t>问题定义与数据预处理</w:t>
      </w:r>
    </w:p>
    <w:p w14:paraId="68385A57" w14:textId="77777777" w:rsidR="00B14FA3" w:rsidRPr="00B14FA3" w:rsidRDefault="00B14FA3" w:rsidP="00B14FA3">
      <w:pPr>
        <w:spacing w:line="360" w:lineRule="auto"/>
      </w:pPr>
      <w:r>
        <w:rPr>
          <w:szCs w:val="21"/>
        </w:rPr>
        <w:t>设预处理后的多变量流量序列为</w:t>
      </w:r>
      <w:r>
        <w:rPr>
          <w:szCs w:val="21"/>
        </w:rPr>
        <w:t xml:space="preserve"> </w:t>
      </w:r>
      <w:r>
        <w:rPr>
          <w:i/>
          <w:iCs/>
          <w:szCs w:val="21"/>
        </w:rPr>
        <w:t>x</w:t>
      </w:r>
      <w:r>
        <w:rPr>
          <w:i/>
          <w:iCs/>
          <w:szCs w:val="21"/>
          <w:vertAlign w:val="subscript"/>
        </w:rPr>
        <w:t>t</w:t>
      </w:r>
      <w:r>
        <w:rPr>
          <w:szCs w:val="21"/>
        </w:rPr>
        <w:t>∈</w:t>
      </w:r>
      <w:r>
        <w:rPr>
          <w:i/>
          <w:iCs/>
          <w:szCs w:val="21"/>
        </w:rPr>
        <w:t>R</w:t>
      </w:r>
      <w:r>
        <w:rPr>
          <w:i/>
          <w:iCs/>
          <w:szCs w:val="21"/>
          <w:vertAlign w:val="superscript"/>
        </w:rPr>
        <w:t>C</w:t>
      </w:r>
      <w:r>
        <w:rPr>
          <w:szCs w:val="21"/>
        </w:rPr>
        <w:t>，其中</w:t>
      </w:r>
      <w:r>
        <w:rPr>
          <w:i/>
          <w:iCs/>
          <w:szCs w:val="21"/>
        </w:rPr>
        <w:t>t</w:t>
      </w:r>
      <w:r>
        <w:rPr>
          <w:szCs w:val="21"/>
        </w:rPr>
        <w:t>为时间索引，</w:t>
      </w:r>
      <w:r>
        <w:rPr>
          <w:i/>
          <w:iCs/>
          <w:szCs w:val="21"/>
        </w:rPr>
        <w:t>C</w:t>
      </w:r>
      <w:r>
        <w:rPr>
          <w:szCs w:val="21"/>
        </w:rPr>
        <w:t>为</w:t>
      </w:r>
      <w:r>
        <w:rPr>
          <w:szCs w:val="21"/>
        </w:rPr>
        <w:t>OD</w:t>
      </w:r>
      <w:r>
        <w:rPr>
          <w:szCs w:val="21"/>
        </w:rPr>
        <w:t>变量数。第</w:t>
      </w:r>
      <w:r>
        <w:rPr>
          <w:i/>
          <w:iCs/>
          <w:szCs w:val="21"/>
        </w:rPr>
        <w:t>n</w:t>
      </w:r>
      <w:r>
        <w:rPr>
          <w:szCs w:val="21"/>
        </w:rPr>
        <w:t>个样本的输入和目标分别为</w:t>
      </w:r>
    </w:p>
    <w:p w14:paraId="54EEA794"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lastRenderedPageBreak/>
        <w:tab/>
      </w:r>
      <m:oMath>
        <m:sSub>
          <m:sSubPr>
            <m:ctrlPr>
              <w:rPr>
                <w:rFonts w:ascii="Cambria Math" w:eastAsia="Cambria Math" w:hAnsi="Cambria Math"/>
                <w:i/>
              </w:rPr>
            </m:ctrlPr>
          </m:sSubPr>
          <m:e>
            <m:r>
              <m:rPr>
                <m:sty m:val="bi"/>
              </m:rPr>
              <w:rPr>
                <w:rFonts w:ascii="Cambria Math" w:eastAsia="Cambria Math" w:hAnsi="Cambria Math"/>
                <w:kern w:val="0"/>
                <w:szCs w:val="20"/>
              </w:rPr>
              <m:t>X</m:t>
            </m:r>
          </m:e>
          <m:sub>
            <m:r>
              <w:rPr>
                <w:rFonts w:ascii="Cambria Math" w:eastAsia="Cambria Math" w:hAnsi="Cambria Math"/>
                <w:kern w:val="0"/>
                <w:szCs w:val="20"/>
              </w:rPr>
              <m:t>n</m:t>
            </m:r>
          </m:sub>
        </m:sSub>
        <m:r>
          <w:rPr>
            <w:rFonts w:ascii="Cambria Math" w:eastAsia="Cambria Math" w:hAnsi="Cambria Math"/>
            <w:kern w:val="0"/>
            <w:szCs w:val="20"/>
          </w:rPr>
          <m:t>=</m:t>
        </m:r>
        <m:d>
          <m:dPr>
            <m:begChr m:val="["/>
            <m:endChr m:val="]"/>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x</m:t>
                </m:r>
              </m:e>
              <m:sub>
                <m:r>
                  <w:rPr>
                    <w:rFonts w:ascii="Cambria Math" w:eastAsia="Cambria Math" w:hAnsi="Cambria Math"/>
                    <w:kern w:val="0"/>
                    <w:szCs w:val="20"/>
                  </w:rPr>
                  <m:t>n</m:t>
                </m:r>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n+L-1</m:t>
                    </m:r>
                  </m:e>
                </m:d>
              </m:sub>
            </m:sSub>
          </m:e>
        </m:d>
        <m:r>
          <w:rPr>
            <w:rFonts w:ascii="Cambria Math" w:eastAsia="Cambria Math" w:hAnsi="Cambria Math"/>
            <w:kern w:val="0"/>
            <w:szCs w:val="20"/>
          </w:rPr>
          <m:t>∈</m:t>
        </m:r>
        <m:sSup>
          <m:sSupPr>
            <m:ctrlPr>
              <w:rPr>
                <w:rFonts w:ascii="Cambria Math" w:eastAsia="Cambria Math" w:hAnsi="Cambria Math"/>
                <w:i/>
              </w:rPr>
            </m:ctrlPr>
          </m:sSupPr>
          <m:e>
            <m:r>
              <m:rPr>
                <m:sty m:val="bi"/>
              </m:rPr>
              <w:rPr>
                <w:rFonts w:ascii="Cambria Math" w:eastAsia="Cambria Math" w:hAnsi="Cambria Math"/>
                <w:kern w:val="0"/>
                <w:szCs w:val="20"/>
              </w:rPr>
              <m:t>R</m:t>
            </m:r>
          </m:e>
          <m:sup>
            <m:d>
              <m:dPr>
                <m:begChr m:val="{"/>
                <m:endChr m:val="}"/>
                <m:ctrlPr>
                  <w:rPr>
                    <w:rFonts w:ascii="Cambria Math" w:eastAsia="Cambria Math" w:hAnsi="Cambria Math"/>
                    <w:i/>
                  </w:rPr>
                </m:ctrlPr>
              </m:dPr>
              <m:e>
                <m:r>
                  <w:rPr>
                    <w:rFonts w:ascii="Cambria Math" w:eastAsia="Cambria Math" w:hAnsi="Cambria Math"/>
                    <w:kern w:val="0"/>
                    <w:szCs w:val="20"/>
                  </w:rPr>
                  <m:t>L×C</m:t>
                </m:r>
              </m:e>
            </m:d>
          </m:sup>
        </m:s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w:t>
      </w:r>
    </w:p>
    <w:p w14:paraId="629FA8CA"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ty m:val="bi"/>
              </m:rPr>
              <w:rPr>
                <w:rFonts w:ascii="Cambria Math" w:eastAsia="Cambria Math" w:hAnsi="Cambria Math"/>
                <w:kern w:val="0"/>
                <w:szCs w:val="20"/>
              </w:rPr>
              <m:t>Y</m:t>
            </m:r>
          </m:e>
          <m:sub>
            <m:r>
              <w:rPr>
                <w:rFonts w:ascii="Cambria Math" w:eastAsia="Cambria Math" w:hAnsi="Cambria Math"/>
                <w:kern w:val="0"/>
                <w:szCs w:val="20"/>
              </w:rPr>
              <m:t>n</m:t>
            </m:r>
          </m:sub>
        </m:sSub>
        <m:r>
          <w:rPr>
            <w:rFonts w:ascii="Cambria Math" w:eastAsia="Cambria Math" w:hAnsi="Cambria Math"/>
            <w:kern w:val="0"/>
            <w:szCs w:val="20"/>
          </w:rPr>
          <m:t>=</m:t>
        </m:r>
        <m:d>
          <m:dPr>
            <m:begChr m:val="["/>
            <m:endChr m:val="]"/>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m:t>
                    </m:r>
                  </m:e>
                </m:d>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n+L+H-1</m:t>
                    </m:r>
                  </m:e>
                </m:d>
              </m:sub>
            </m:sSub>
          </m:e>
        </m:d>
        <m:r>
          <w:rPr>
            <w:rFonts w:ascii="Cambria Math" w:eastAsia="Cambria Math" w:hAnsi="Cambria Math"/>
            <w:kern w:val="0"/>
            <w:szCs w:val="20"/>
          </w:rPr>
          <m:t>∈</m:t>
        </m:r>
        <m:sSup>
          <m:sSupPr>
            <m:ctrlPr>
              <w:rPr>
                <w:rFonts w:ascii="Cambria Math" w:eastAsia="Cambria Math" w:hAnsi="Cambria Math"/>
                <w:i/>
              </w:rPr>
            </m:ctrlPr>
          </m:sSupPr>
          <m:e>
            <m:r>
              <m:rPr>
                <m:sty m:val="bi"/>
              </m:rPr>
              <w:rPr>
                <w:rFonts w:ascii="Cambria Math" w:eastAsia="Cambria Math" w:hAnsi="Cambria Math"/>
                <w:kern w:val="0"/>
                <w:szCs w:val="20"/>
              </w:rPr>
              <m:t>R</m:t>
            </m:r>
          </m:e>
          <m:sup>
            <m:d>
              <m:dPr>
                <m:begChr m:val="{"/>
                <m:endChr m:val="}"/>
                <m:ctrlPr>
                  <w:rPr>
                    <w:rFonts w:ascii="Cambria Math" w:eastAsia="Cambria Math" w:hAnsi="Cambria Math"/>
                    <w:i/>
                  </w:rPr>
                </m:ctrlPr>
              </m:dPr>
              <m:e>
                <m:r>
                  <w:rPr>
                    <w:rFonts w:ascii="Cambria Math" w:eastAsia="Cambria Math" w:hAnsi="Cambria Math"/>
                    <w:kern w:val="0"/>
                    <w:szCs w:val="20"/>
                  </w:rPr>
                  <m:t>H×C</m:t>
                </m:r>
              </m:e>
            </m:d>
          </m:sup>
        </m:s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(2)</w:t>
      </w:r>
    </w:p>
    <w:p w14:paraId="221B26ED" w14:textId="77777777" w:rsidR="00B14FA3" w:rsidRPr="00B14FA3" w:rsidRDefault="00B14FA3" w:rsidP="00B14FA3">
      <w:pPr>
        <w:spacing w:line="360" w:lineRule="auto"/>
      </w:pPr>
      <w:r>
        <w:rPr>
          <w:szCs w:val="21"/>
        </w:rPr>
        <w:t>本文取输入长度</w:t>
      </w:r>
      <w:r>
        <w:rPr>
          <w:i/>
          <w:iCs/>
          <w:szCs w:val="21"/>
        </w:rPr>
        <w:t>L</w:t>
      </w:r>
      <w:r>
        <w:rPr>
          <w:szCs w:val="21"/>
        </w:rPr>
        <w:t>=96</w:t>
      </w:r>
      <w:r>
        <w:rPr>
          <w:szCs w:val="21"/>
        </w:rPr>
        <w:t>、预测长度</w:t>
      </w:r>
      <w:r>
        <w:rPr>
          <w:i/>
          <w:iCs/>
          <w:szCs w:val="21"/>
        </w:rPr>
        <w:t>H</w:t>
      </w:r>
      <w:r>
        <w:rPr>
          <w:szCs w:val="21"/>
        </w:rPr>
        <w:t>=24</w:t>
      </w:r>
      <w:r>
        <w:rPr>
          <w:szCs w:val="21"/>
        </w:rPr>
        <w:t>、变量数</w:t>
      </w:r>
      <w:r>
        <w:rPr>
          <w:i/>
          <w:iCs/>
          <w:szCs w:val="21"/>
        </w:rPr>
        <w:t>C</w:t>
      </w:r>
      <w:r>
        <w:rPr>
          <w:szCs w:val="21"/>
        </w:rPr>
        <w:t>随具体数据集的有效</w:t>
      </w:r>
      <w:r>
        <w:rPr>
          <w:szCs w:val="21"/>
        </w:rPr>
        <w:t>OD</w:t>
      </w:r>
      <w:r>
        <w:rPr>
          <w:szCs w:val="21"/>
        </w:rPr>
        <w:t>维度确定，学习映射</w:t>
      </w:r>
      <w:r>
        <w:rPr>
          <w:b/>
          <w:bCs/>
          <w:i/>
          <w:iCs/>
          <w:szCs w:val="21"/>
        </w:rPr>
        <w:t>Ŷ</w:t>
      </w:r>
      <w:r>
        <w:rPr>
          <w:i/>
          <w:iCs/>
          <w:szCs w:val="21"/>
          <w:vertAlign w:val="subscript"/>
        </w:rPr>
        <w:t>n</w:t>
      </w:r>
      <w:r>
        <w:rPr>
          <w:szCs w:val="21"/>
        </w:rPr>
        <w:t>=</w:t>
      </w:r>
      <w:r>
        <w:rPr>
          <w:i/>
          <w:iCs/>
          <w:szCs w:val="21"/>
        </w:rPr>
        <w:t>f</w:t>
      </w:r>
      <w:r>
        <w:rPr>
          <w:i/>
          <w:iCs/>
          <w:szCs w:val="21"/>
          <w:vertAlign w:val="subscript"/>
        </w:rPr>
        <w:t>θ</w:t>
      </w:r>
      <w:r>
        <w:rPr>
          <w:szCs w:val="21"/>
        </w:rPr>
        <w:t>(</w:t>
      </w:r>
      <w:r>
        <w:rPr>
          <w:b/>
          <w:bCs/>
          <w:i/>
          <w:iCs/>
          <w:szCs w:val="21"/>
        </w:rPr>
        <w:t>X</w:t>
      </w:r>
      <w:r>
        <w:rPr>
          <w:i/>
          <w:iCs/>
          <w:szCs w:val="21"/>
          <w:vertAlign w:val="subscript"/>
        </w:rPr>
        <w:t>n</w:t>
      </w:r>
      <w:r>
        <w:rPr>
          <w:szCs w:val="21"/>
        </w:rPr>
        <w:t>)</w:t>
      </w:r>
      <w:r>
        <w:rPr>
          <w:szCs w:val="21"/>
        </w:rPr>
        <w:t>。原始非负流量</w:t>
      </w:r>
      <w:r>
        <w:rPr>
          <w:i/>
          <w:iCs/>
          <w:szCs w:val="21"/>
        </w:rPr>
        <w:t>v</w:t>
      </w:r>
      <w:r>
        <w:rPr>
          <w:i/>
          <w:iCs/>
          <w:szCs w:val="21"/>
          <w:vertAlign w:val="subscript"/>
        </w:rPr>
        <w:t>t,c</w:t>
      </w:r>
      <w:r>
        <w:rPr>
          <w:szCs w:val="21"/>
        </w:rPr>
        <w:t>先作对数变换</w:t>
      </w:r>
    </w:p>
    <w:p w14:paraId="06B107E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u</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r>
          <w:rPr>
            <w:rFonts w:ascii="Cambria Math" w:eastAsia="Cambria Math" w:hAnsi="Cambria Math"/>
            <w:kern w:val="0"/>
            <w:szCs w:val="20"/>
          </w:rPr>
          <m:t>=</m:t>
        </m:r>
        <m:func>
          <m:funcPr>
            <m:ctrlPr>
              <w:rPr>
                <w:rFonts w:ascii="Cambria Math" w:eastAsia="Cambria Math" w:hAnsi="Cambria Math"/>
              </w:rPr>
            </m:ctrlPr>
          </m:funcPr>
          <m:fName>
            <m:r>
              <m:rPr>
                <m:sty m:val="p"/>
              </m:rPr>
              <w:rPr>
                <w:rFonts w:ascii="Cambria Math" w:eastAsia="Cambria Math" w:hAnsi="Cambria Math"/>
                <w:kern w:val="0"/>
                <w:szCs w:val="20"/>
              </w:rPr>
              <m:t>log</m:t>
            </m:r>
            <m:ctrlPr>
              <w:rPr>
                <w:rFonts w:ascii="Cambria Math" w:eastAsia="Cambria Math" w:hAnsi="Cambria Math"/>
                <w:i/>
              </w:rPr>
            </m:ctrlPr>
          </m:fName>
          <m:e>
            <m:d>
              <m:dPr>
                <m:ctrlPr>
                  <w:rPr>
                    <w:rFonts w:ascii="Cambria Math" w:eastAsia="Cambria Math" w:hAnsi="Cambria Math"/>
                    <w:i/>
                  </w:rPr>
                </m:ctrlPr>
              </m:dPr>
              <m:e>
                <m:r>
                  <w:rPr>
                    <w:rFonts w:ascii="Cambria Math" w:eastAsia="Cambria Math" w:hAnsi="Cambria Math"/>
                    <w:kern w:val="0"/>
                    <w:szCs w:val="20"/>
                  </w:rPr>
                  <m:t>1+</m:t>
                </m:r>
                <m:sSub>
                  <m:sSubPr>
                    <m:ctrlPr>
                      <w:rPr>
                        <w:rFonts w:ascii="Cambria Math" w:eastAsia="Cambria Math" w:hAnsi="Cambria Math"/>
                        <w:i/>
                      </w:rPr>
                    </m:ctrlPr>
                  </m:sSubPr>
                  <m:e>
                    <m:r>
                      <w:rPr>
                        <w:rFonts w:ascii="Cambria Math" w:eastAsia="Cambria Math" w:hAnsi="Cambria Math"/>
                        <w:kern w:val="0"/>
                        <w:szCs w:val="20"/>
                      </w:rPr>
                      <m:t>v</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e>
            </m:d>
          </m:e>
        </m:func>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(3)</w:t>
      </w:r>
    </w:p>
    <w:p w14:paraId="5088C610" w14:textId="77777777" w:rsidR="00B14FA3" w:rsidRPr="00B14FA3" w:rsidRDefault="00B14FA3" w:rsidP="00B14FA3">
      <w:pPr>
        <w:spacing w:line="360" w:lineRule="auto"/>
      </w:pPr>
      <w:r w:rsidRPr="00B14FA3">
        <w:rPr>
          <w:szCs w:val="21"/>
        </w:rPr>
        <w:t>再按变量进行标准化：</w:t>
      </w:r>
    </w:p>
    <w:p w14:paraId="2A2346E7"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r>
          <w:rPr>
            <w:rFonts w:ascii="Cambria Math" w:eastAsia="Cambria Math" w:hAnsi="Cambria Math"/>
            <w:kern w:val="0"/>
            <w:szCs w:val="20"/>
          </w:rPr>
          <m:t>=</m:t>
        </m:r>
        <m:f>
          <m:fPr>
            <m:ctrlPr>
              <w:rPr>
                <w:rFonts w:ascii="Cambria Math" w:eastAsia="Cambria Math" w:hAnsi="Cambria Math"/>
                <w:i/>
              </w:rPr>
            </m:ctrlPr>
          </m:fPr>
          <m:num>
            <m:sSub>
              <m:sSubPr>
                <m:ctrlPr>
                  <w:rPr>
                    <w:rFonts w:ascii="Cambria Math" w:eastAsia="Cambria Math" w:hAnsi="Cambria Math"/>
                    <w:i/>
                  </w:rPr>
                </m:ctrlPr>
              </m:sSubPr>
              <m:e>
                <m:r>
                  <w:rPr>
                    <w:rFonts w:ascii="Cambria Math" w:eastAsia="Cambria Math" w:hAnsi="Cambria Math"/>
                    <w:kern w:val="0"/>
                    <w:szCs w:val="20"/>
                  </w:rPr>
                  <m:t>u</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r>
              <w:rPr>
                <w:rFonts w:ascii="Cambria Math" w:eastAsia="Cambria Math" w:hAnsi="Cambria Math"/>
                <w:kern w:val="0"/>
                <w:szCs w:val="20"/>
              </w:rPr>
              <m:t>-</m:t>
            </m:r>
            <m:sSubSup>
              <m:sSubSupPr>
                <m:ctrlPr>
                  <w:rPr>
                    <w:rFonts w:ascii="Cambria Math" w:eastAsia="Cambria Math" w:hAnsi="Cambria Math"/>
                    <w:i/>
                  </w:rPr>
                </m:ctrlPr>
              </m:sSubSupPr>
              <m:e>
                <m:r>
                  <w:rPr>
                    <w:rFonts w:ascii="Cambria Math" w:eastAsia="Cambria Math" w:hAnsi="Cambria Math"/>
                    <w:kern w:val="0"/>
                    <w:szCs w:val="20"/>
                  </w:rPr>
                  <m:t>μ</m:t>
                </m:r>
              </m:e>
              <m:sub>
                <m:r>
                  <w:rPr>
                    <w:rFonts w:ascii="Cambria Math" w:eastAsia="Cambria Math" w:hAnsi="Cambria Math"/>
                    <w:kern w:val="0"/>
                    <w:szCs w:val="20"/>
                  </w:rPr>
                  <m:t>c</m:t>
                </m:r>
              </m:sub>
              <m:sup>
                <m:d>
                  <m:dPr>
                    <m:begChr m:val="{"/>
                    <m:endChr m:val="}"/>
                    <m:ctrlPr>
                      <w:rPr>
                        <w:rFonts w:ascii="Cambria Math" w:eastAsia="Cambria Math" w:hAnsi="Cambria Math"/>
                        <w:i/>
                      </w:rPr>
                    </m:ctrlPr>
                  </m:dPr>
                  <m:e>
                    <m:r>
                      <m:rPr>
                        <m:sty m:val="p"/>
                      </m:rPr>
                      <w:rPr>
                        <w:rFonts w:ascii="Cambria Math" w:eastAsia="Cambria Math" w:hAnsi="Cambria Math"/>
                        <w:kern w:val="0"/>
                        <w:szCs w:val="20"/>
                      </w:rPr>
                      <m:t>tr</m:t>
                    </m:r>
                  </m:e>
                </m:d>
              </m:sup>
            </m:sSubSup>
          </m:num>
          <m:den>
            <m:sSubSup>
              <m:sSubSupPr>
                <m:ctrlPr>
                  <w:rPr>
                    <w:rFonts w:ascii="Cambria Math" w:eastAsia="Cambria Math" w:hAnsi="Cambria Math"/>
                    <w:i/>
                  </w:rPr>
                </m:ctrlPr>
              </m:sSubSupPr>
              <m:e>
                <m:r>
                  <w:rPr>
                    <w:rFonts w:ascii="Cambria Math" w:eastAsia="Cambria Math" w:hAnsi="Cambria Math"/>
                    <w:kern w:val="0"/>
                    <w:szCs w:val="20"/>
                  </w:rPr>
                  <m:t>σ</m:t>
                </m:r>
              </m:e>
              <m:sub>
                <m:r>
                  <w:rPr>
                    <w:rFonts w:ascii="Cambria Math" w:eastAsia="Cambria Math" w:hAnsi="Cambria Math"/>
                    <w:kern w:val="0"/>
                    <w:szCs w:val="20"/>
                  </w:rPr>
                  <m:t>c</m:t>
                </m:r>
              </m:sub>
              <m:sup>
                <m:d>
                  <m:dPr>
                    <m:begChr m:val="{"/>
                    <m:endChr m:val="}"/>
                    <m:ctrlPr>
                      <w:rPr>
                        <w:rFonts w:ascii="Cambria Math" w:eastAsia="Cambria Math" w:hAnsi="Cambria Math"/>
                        <w:i/>
                      </w:rPr>
                    </m:ctrlPr>
                  </m:dPr>
                  <m:e>
                    <m:r>
                      <m:rPr>
                        <m:sty m:val="p"/>
                      </m:rPr>
                      <w:rPr>
                        <w:rFonts w:ascii="Cambria Math" w:eastAsia="Cambria Math" w:hAnsi="Cambria Math"/>
                        <w:kern w:val="0"/>
                        <w:szCs w:val="20"/>
                      </w:rPr>
                      <m:t>tr</m:t>
                    </m:r>
                  </m:e>
                </m:d>
              </m:sup>
            </m:sSubSup>
          </m:den>
        </m:f>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(4)</w:t>
      </w:r>
    </w:p>
    <w:p w14:paraId="2663E5C2" w14:textId="77777777" w:rsidR="00B14FA3" w:rsidRPr="00B14FA3" w:rsidRDefault="00B14FA3" w:rsidP="00B14FA3">
      <w:pPr>
        <w:spacing w:line="360" w:lineRule="auto"/>
      </w:pPr>
      <w:r>
        <w:rPr>
          <w:szCs w:val="21"/>
        </w:rPr>
        <w:t>其中μctr和σctr由训练集计算，验证集和测试集沿用同一组参数。原始流量在不同OD维度上的数值差异较大，因此先进行log(1+x)变换，再按变量标准化。前者用于压缩数值范围，后者使不同OD变量处于较接近的尺度。数据按时间顺序以6∶2∶2划分为训练集、验证集和测试集，滑动窗口分别在各集合内部构造。</w:t>
      </w:r>
      <w:r>
        <w:rPr>
          <w:i/>
          <w:iCs/>
          <w:szCs w:val="21"/>
        </w:rPr>
      </w:r>
      <w:r>
        <w:rPr>
          <w:i/>
          <w:iCs/>
          <w:szCs w:val="21"/>
          <w:vertAlign w:val="subscript"/>
        </w:rPr>
      </w:r>
      <w:r>
        <w:rPr>
          <w:szCs w:val="21"/>
          <w:vertAlign w:val="superscript"/>
        </w:rPr>
      </w:r>
      <w:r>
        <w:rPr>
          <w:szCs w:val="21"/>
        </w:rPr>
      </w:r>
      <w:r>
        <w:rPr>
          <w:i/>
          <w:iCs/>
          <w:szCs w:val="21"/>
        </w:rPr>
      </w:r>
      <w:r>
        <w:rPr>
          <w:i/>
          <w:iCs/>
          <w:szCs w:val="21"/>
          <w:vertAlign w:val="subscript"/>
        </w:rPr>
      </w:r>
      <w:r>
        <w:rPr>
          <w:szCs w:val="21"/>
          <w:vertAlign w:val="superscript"/>
        </w:rPr>
      </w:r>
      <w:r>
        <w:rPr>
          <w:szCs w:val="21"/>
        </w:rPr>
      </w:r>
      <w:r>
        <w:rPr>
          <w:szCs w:val="21"/>
        </w:rPr>
      </w:r>
      <w:r>
        <w:rPr>
          <w:szCs w:val="21"/>
        </w:rPr>
      </w:r>
    </w:p>
    <w:p w14:paraId="61721526"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 xml:space="preserve">1.2 </w:t>
      </w:r>
      <w:r w:rsidRPr="00B14FA3">
        <w:rPr>
          <w:rFonts w:eastAsia="黑体"/>
          <w:b/>
          <w:bCs/>
          <w:szCs w:val="21"/>
        </w:rPr>
        <w:t>多尺度序列构造</w:t>
      </w:r>
    </w:p>
    <w:p w14:paraId="70A22C31" w14:textId="77777777" w:rsidR="00B14FA3" w:rsidRPr="00B14FA3" w:rsidRDefault="00B14FA3" w:rsidP="00B14FA3">
      <w:pPr>
        <w:spacing w:line="360" w:lineRule="auto"/>
      </w:pPr>
      <w:r w:rsidRPr="00B14FA3">
        <w:rPr>
          <w:szCs w:val="21"/>
        </w:rPr>
        <w:t>设尺度集合</w:t>
      </w:r>
      <w:r w:rsidRPr="00B14FA3">
        <w:rPr>
          <w:szCs w:val="21"/>
        </w:rPr>
        <w:t>S={1,2,4}</w:t>
      </w:r>
      <w:r w:rsidRPr="00B14FA3">
        <w:rPr>
          <w:szCs w:val="21"/>
        </w:rPr>
        <w:t>。对尺度</w:t>
      </w:r>
      <w:r w:rsidRPr="00B14FA3">
        <w:rPr>
          <w:szCs w:val="21"/>
        </w:rPr>
        <w:t>s</w:t>
      </w:r>
      <w:r w:rsidRPr="00B14FA3">
        <w:rPr>
          <w:szCs w:val="21"/>
        </w:rPr>
        <w:t>，使用窗口大小和步长均为</w:t>
      </w:r>
      <w:r w:rsidRPr="00B14FA3">
        <w:rPr>
          <w:szCs w:val="21"/>
        </w:rPr>
        <w:t>s</w:t>
      </w:r>
      <w:r w:rsidRPr="00B14FA3">
        <w:rPr>
          <w:szCs w:val="21"/>
        </w:rPr>
        <w:t>的非重叠平均池化：</w:t>
      </w:r>
    </w:p>
    <w:p w14:paraId="18864864"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m:t>
                </m:r>
              </m:e>
            </m:d>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s</m:t>
                </m:r>
              </m:den>
            </m:f>
          </m:e>
        </m:d>
        <m:sSub>
          <m:sSubPr>
            <m:ctrlPr>
              <w:rPr>
                <w:rFonts w:ascii="Cambria Math" w:eastAsia="Cambria Math" w:hAnsi="Cambria Math"/>
                <w:i/>
              </w:rPr>
            </m:ctrlPr>
          </m:sSubPr>
          <m:e>
            <m:r>
              <w:rPr>
                <w:rFonts w:ascii="Cambria Math" w:eastAsia="Cambria Math" w:hAnsi="Cambria Math"/>
                <w:kern w:val="0"/>
                <w:szCs w:val="20"/>
              </w:rPr>
              <m:t>Σ</m:t>
            </m:r>
          </m:e>
          <m:sub>
            <m:sSubSup>
              <m:sSubSupPr>
                <m:ctrlPr>
                  <w:rPr>
                    <w:rFonts w:ascii="Cambria Math" w:eastAsia="Cambria Math" w:hAnsi="Cambria Math"/>
                    <w:i/>
                  </w:rPr>
                </m:ctrlPr>
              </m:sSubSupPr>
              <m:e>
                <m:d>
                  <m:dPr>
                    <m:begChr m:val="{"/>
                    <m:endChr m:val="}"/>
                    <m:ctrlPr>
                      <w:rPr>
                        <w:rFonts w:ascii="Cambria Math" w:eastAsia="Cambria Math" w:hAnsi="Cambria Math"/>
                        <w:i/>
                      </w:rPr>
                    </m:ctrlPr>
                  </m:dPr>
                  <m:e>
                    <m:r>
                      <w:rPr>
                        <w:rFonts w:ascii="Cambria Math" w:eastAsia="Cambria Math" w:hAnsi="Cambria Math"/>
                        <w:kern w:val="0"/>
                        <w:szCs w:val="20"/>
                      </w:rPr>
                      <m:t>i=0</m:t>
                    </m:r>
                  </m:e>
                </m:d>
              </m:e>
              <m:sub>
                <m:d>
                  <m:dPr>
                    <m:begChr m:val="{"/>
                    <m:endChr m:val="}"/>
                    <m:ctrlPr>
                      <w:rPr>
                        <w:rFonts w:ascii="Cambria Math" w:eastAsia="Cambria Math" w:hAnsi="Cambria Math"/>
                        <w:i/>
                      </w:rPr>
                    </m:ctrlPr>
                  </m:dPr>
                  <m:e>
                    <m:r>
                      <w:rPr>
                        <w:rFonts w:ascii="Cambria Math" w:eastAsia="Cambria Math" w:hAnsi="Cambria Math"/>
                        <w:kern w:val="0"/>
                        <w:szCs w:val="20"/>
                      </w:rPr>
                      <m:t>n,st+i</m:t>
                    </m:r>
                  </m:e>
                </m:d>
              </m:sub>
              <m:sup>
                <m:d>
                  <m:dPr>
                    <m:begChr m:val="{"/>
                    <m:endChr m:val="}"/>
                    <m:ctrlPr>
                      <w:rPr>
                        <w:rFonts w:ascii="Cambria Math" w:eastAsia="Cambria Math" w:hAnsi="Cambria Math"/>
                        <w:i/>
                      </w:rPr>
                    </m:ctrlPr>
                  </m:dPr>
                  <m:e>
                    <m:r>
                      <w:rPr>
                        <w:rFonts w:ascii="Cambria Math" w:eastAsia="Cambria Math" w:hAnsi="Cambria Math"/>
                        <w:kern w:val="0"/>
                        <w:szCs w:val="20"/>
                      </w:rPr>
                      <m:t>s-1</m:t>
                    </m:r>
                  </m:e>
                </m:d>
                <m:r>
                  <m:rPr>
                    <m:sty m:val="bi"/>
                  </m:rPr>
                  <w:rPr>
                    <w:rFonts w:ascii="Cambria Math" w:eastAsia="Cambria Math" w:hAnsi="Cambria Math"/>
                    <w:kern w:val="0"/>
                    <w:szCs w:val="20"/>
                  </w:rPr>
                  <m:t>X</m:t>
                </m:r>
              </m:sup>
            </m:sSubSup>
          </m:sub>
        </m:sSub>
        <m:r>
          <w:rPr>
            <w:rFonts w:ascii="Cambria Math" w:eastAsia="Cambria Math" w:hAnsi="Cambria Math"/>
            <w:kern w:val="0"/>
            <w:szCs w:val="20"/>
          </w:rPr>
          <m:t>,     t=0,…,</m:t>
        </m:r>
        <m:f>
          <m:fPr>
            <m:ctrlPr>
              <w:rPr>
                <w:rFonts w:ascii="Cambria Math" w:eastAsia="Cambria Math" w:hAnsi="Cambria Math"/>
                <w:i/>
              </w:rPr>
            </m:ctrlPr>
          </m:fPr>
          <m:num>
            <m:r>
              <w:rPr>
                <w:rFonts w:ascii="Cambria Math" w:eastAsia="Cambria Math" w:hAnsi="Cambria Math"/>
                <w:kern w:val="0"/>
                <w:szCs w:val="20"/>
              </w:rPr>
              <m:t>L</m:t>
            </m:r>
          </m:num>
          <m:den>
            <m:r>
              <w:rPr>
                <w:rFonts w:ascii="Cambria Math" w:eastAsia="Cambria Math" w:hAnsi="Cambria Math"/>
                <w:kern w:val="0"/>
                <w:szCs w:val="20"/>
              </w:rPr>
              <m:t>s</m:t>
            </m:r>
          </m:den>
        </m:f>
        <m:r>
          <w:rPr>
            <w:rFonts w:ascii="Cambria Math" w:eastAsia="Cambria Math" w:hAnsi="Cambria Math"/>
            <w:kern w:val="0"/>
            <w:szCs w:val="20"/>
          </w:rPr>
          <m:t>-1.</m:t>
        </m:r>
      </m:oMath>
      <w:r w:rsidRPr="00B14FA3">
        <w:rPr>
          <w:rFonts w:ascii="Cambria Math" w:eastAsia="Cambria Math" w:hAnsi="Cambria Math"/>
          <w:kern w:val="0"/>
          <w:szCs w:val="20"/>
        </w:rPr>
        <w:tab/>
      </w:r>
      <w:r w:rsidRPr="00B14FA3">
        <w:rPr>
          <w:kern w:val="0"/>
          <w:szCs w:val="20"/>
        </w:rPr>
        <w:t>(5)</w:t>
      </w:r>
    </w:p>
    <w:p w14:paraId="7293F014" w14:textId="77777777" w:rsidR="00B14FA3" w:rsidRPr="00B14FA3" w:rsidRDefault="00B14FA3" w:rsidP="00B14FA3">
      <w:pPr>
        <w:spacing w:line="360" w:lineRule="auto"/>
      </w:pPr>
      <w:r w:rsidRPr="00B14FA3">
        <w:rPr>
          <w:szCs w:val="21"/>
        </w:rPr>
        <w:t>本文选取尺度1、2和4构造多分辨率序列，对应的输入长度分别为96、48和24。尺度1直接保留原始时间分辨率；尺度2采用2点平均，减弱部分短时扰动；尺度4进一步平滑局部变化，使较慢的变化趋势更加突出。不同尺度均采用非重叠平均池化完成，因此这一过程本身不引入新的可训练参数。</w:t>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p>
    <w:p w14:paraId="306E219C"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1.3 DLinear</w:t>
      </w:r>
      <w:r w:rsidRPr="00B14FA3">
        <w:rPr>
          <w:rFonts w:eastAsia="黑体"/>
          <w:b/>
          <w:bCs/>
          <w:szCs w:val="21"/>
        </w:rPr>
        <w:t>尺度专家</w:t>
      </w:r>
    </w:p>
    <w:p w14:paraId="0C0C1858" w14:textId="77777777" w:rsidR="00B14FA3" w:rsidRPr="00B14FA3" w:rsidRDefault="00B14FA3" w:rsidP="00B14FA3">
      <w:pPr>
        <w:spacing w:line="360" w:lineRule="auto"/>
      </w:pPr>
      <w:r w:rsidRPr="00B14FA3">
        <w:rPr>
          <w:szCs w:val="21"/>
        </w:rPr>
        <w:t>每个尺度配置一个独立</w:t>
      </w:r>
      <w:r w:rsidRPr="00B14FA3">
        <w:rPr>
          <w:szCs w:val="21"/>
        </w:rPr>
        <w:t>DLinear</w:t>
      </w:r>
      <w:r w:rsidRPr="00B14FA3">
        <w:rPr>
          <w:szCs w:val="21"/>
        </w:rPr>
        <w:t>专家</w:t>
      </w:r>
      <w:r w:rsidRPr="00B14FA3">
        <w:rPr>
          <w:szCs w:val="21"/>
        </w:rPr>
        <w:t>[4]</w:t>
      </w:r>
      <w:r w:rsidRPr="00B14FA3">
        <w:rPr>
          <w:szCs w:val="21"/>
        </w:rPr>
        <w:t>。对尺度</w:t>
      </w:r>
      <w:r w:rsidRPr="00B14FA3">
        <w:rPr>
          <w:szCs w:val="21"/>
        </w:rPr>
        <w:t>s</w:t>
      </w:r>
      <w:r w:rsidRPr="00B14FA3">
        <w:rPr>
          <w:szCs w:val="21"/>
        </w:rPr>
        <w:t>的输入，以长度</w:t>
      </w:r>
      <w:r w:rsidRPr="00B14FA3">
        <w:rPr>
          <w:i/>
          <w:iCs/>
          <w:szCs w:val="21"/>
        </w:rPr>
        <w:t>q</w:t>
      </w:r>
      <w:r w:rsidRPr="00B14FA3">
        <w:rPr>
          <w:szCs w:val="21"/>
        </w:rPr>
        <w:t>=25</w:t>
      </w:r>
      <w:r w:rsidRPr="00B14FA3">
        <w:rPr>
          <w:szCs w:val="21"/>
        </w:rPr>
        <w:t>的中心移动平均提取趋势项，序列两端采用端点复制以保持长度：</w:t>
      </w:r>
    </w:p>
    <w:p w14:paraId="470EA410"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T</m:t>
            </m:r>
          </m:e>
          <m:sub>
            <m:d>
              <m:dPr>
                <m:begChr m:val="{"/>
                <m:endChr m:val="}"/>
                <m:ctrlPr>
                  <w:rPr>
                    <w:rFonts w:ascii="Cambria Math" w:eastAsia="Cambria Math" w:hAnsi="Cambria Math"/>
                    <w:i/>
                  </w:rPr>
                </m:ctrlPr>
              </m:dPr>
              <m:e>
                <m:r>
                  <w:rPr>
                    <w:rFonts w:ascii="Cambria Math" w:eastAsia="Cambria Math" w:hAnsi="Cambria Math"/>
                    <w:kern w:val="0"/>
                    <w:szCs w:val="20"/>
                  </w:rPr>
                  <m:t>n,t</m:t>
                </m:r>
              </m:e>
            </m:d>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q</m:t>
                </m:r>
              </m:den>
            </m:f>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i=-m</m:t>
                </m:r>
              </m:e>
            </m:d>
          </m:sub>
          <m:sup>
            <m:d>
              <m:dPr>
                <m:begChr m:val="{"/>
                <m:endChr m:val="}"/>
                <m:ctrlPr>
                  <w:rPr>
                    <w:rFonts w:ascii="Cambria Math" w:eastAsia="Cambria Math" w:hAnsi="Cambria Math"/>
                    <w:i/>
                  </w:rPr>
                </m:ctrlPr>
              </m:dPr>
              <m:e>
                <m:r>
                  <w:rPr>
                    <w:rFonts w:ascii="Cambria Math" w:eastAsia="Cambria Math" w:hAnsi="Cambria Math"/>
                    <w:kern w:val="0"/>
                    <w:szCs w:val="20"/>
                  </w:rPr>
                  <m:t>m</m:t>
                </m:r>
              </m:e>
            </m:d>
            <m:sSubSup>
              <m:sSubSupPr>
                <m:ctrlPr>
                  <w:rPr>
                    <w:rFonts w:ascii="Cambria Math" w:eastAsia="Cambria Math" w:hAnsi="Cambria Math"/>
                    <w:i/>
                  </w:rPr>
                </m:ctrlPr>
              </m:sSubSupPr>
              <m:e>
                <m:acc>
                  <m:accPr>
                    <m:chr m:val="̄"/>
                    <m:ctrlPr>
                      <w:rPr>
                        <w:rFonts w:ascii="Cambria Math" w:eastAsia="Cambria Math" w:hAnsi="Cambria Math"/>
                        <w:i/>
                      </w:rPr>
                    </m:ctrlPr>
                  </m:accPr>
                  <m:e>
                    <m:r>
                      <m:rPr>
                        <m:sty m:val="bi"/>
                      </m:rPr>
                      <w:rPr>
                        <w:rFonts w:ascii="Cambria Math" w:eastAsia="Cambria Math" w:hAnsi="Cambria Math"/>
                        <w:kern w:val="0"/>
                        <w:szCs w:val="20"/>
                      </w:rPr>
                      <m:t>X</m:t>
                    </m:r>
                  </m:e>
                </m:acc>
              </m:e>
              <m:sub>
                <m:d>
                  <m:dPr>
                    <m:begChr m:val="{"/>
                    <m:endChr m:val="}"/>
                    <m:ctrlPr>
                      <w:rPr>
                        <w:rFonts w:ascii="Cambria Math" w:eastAsia="Cambria Math" w:hAnsi="Cambria Math"/>
                        <w:i/>
                      </w:rPr>
                    </m:ctrlPr>
                  </m:dPr>
                  <m:e>
                    <m:r>
                      <w:rPr>
                        <w:rFonts w:ascii="Cambria Math" w:eastAsia="Cambria Math" w:hAnsi="Cambria Math"/>
                        <w:kern w:val="0"/>
                        <w:szCs w:val="20"/>
                      </w:rPr>
                      <m:t>n,t+i</m:t>
                    </m:r>
                  </m:e>
                </m:d>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p>
        </m:sSubSup>
        <m:r>
          <w:rPr>
            <w:rFonts w:ascii="Cambria Math" w:eastAsia="Cambria Math" w:hAnsi="Cambria Math"/>
            <w:kern w:val="0"/>
            <w:szCs w:val="20"/>
          </w:rPr>
          <m:t>,     q=2m+1=25,</m:t>
        </m:r>
      </m:oMath>
      <w:r w:rsidRPr="00B14FA3">
        <w:rPr>
          <w:rFonts w:ascii="Cambria Math" w:eastAsia="Cambria Math" w:hAnsi="Cambria Math"/>
          <w:kern w:val="0"/>
          <w:szCs w:val="20"/>
        </w:rPr>
        <w:tab/>
      </w:r>
      <w:r w:rsidRPr="00B14FA3">
        <w:rPr>
          <w:kern w:val="0"/>
          <w:szCs w:val="20"/>
        </w:rPr>
        <w:t>(6)</w:t>
      </w:r>
    </w:p>
    <w:p w14:paraId="17B8C737"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R</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X</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T</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(7)</w:t>
      </w:r>
    </w:p>
    <w:p w14:paraId="26BF54CF" w14:textId="77777777" w:rsidR="00B14FA3" w:rsidRPr="00B14FA3" w:rsidRDefault="00B14FA3" w:rsidP="00B14FA3">
      <w:pPr>
        <w:spacing w:line="360" w:lineRule="auto"/>
      </w:pPr>
      <w:r>
        <w:rPr>
          <w:szCs w:val="21"/>
        </w:rPr>
        <w:t>趋势项</w:t>
      </w:r>
      <w:r>
        <w:rPr>
          <w:b/>
          <w:bCs/>
          <w:i/>
          <w:iCs/>
          <w:szCs w:val="21"/>
        </w:rPr>
        <w:t>T</w:t>
      </w:r>
      <w:r>
        <w:rPr>
          <w:szCs w:val="21"/>
          <w:vertAlign w:val="superscript"/>
        </w:rPr>
        <w:t>(</w:t>
      </w:r>
      <w:r>
        <w:rPr>
          <w:i/>
          <w:iCs/>
          <w:szCs w:val="21"/>
          <w:vertAlign w:val="superscript"/>
        </w:rPr>
        <w:t>s</w:t>
      </w:r>
      <w:r>
        <w:rPr>
          <w:szCs w:val="21"/>
          <w:vertAlign w:val="superscript"/>
        </w:rPr>
        <w:t>)</w:t>
      </w:r>
      <w:r>
        <w:rPr>
          <w:szCs w:val="21"/>
        </w:rPr>
        <w:t>和余项</w:t>
      </w:r>
      <w:r>
        <w:rPr>
          <w:b/>
          <w:bCs/>
          <w:i/>
          <w:iCs/>
          <w:szCs w:val="21"/>
        </w:rPr>
        <w:t>R</w:t>
      </w:r>
      <w:r>
        <w:rPr>
          <w:szCs w:val="21"/>
          <w:vertAlign w:val="superscript"/>
        </w:rPr>
        <w:t>(</w:t>
      </w:r>
      <w:r>
        <w:rPr>
          <w:i/>
          <w:iCs/>
          <w:szCs w:val="21"/>
          <w:vertAlign w:val="superscript"/>
        </w:rPr>
        <w:t>s</w:t>
      </w:r>
      <w:r>
        <w:rPr>
          <w:szCs w:val="21"/>
          <w:vertAlign w:val="superscript"/>
        </w:rPr>
        <w:t>)</w:t>
      </w:r>
      <w:r>
        <w:rPr>
          <w:szCs w:val="21"/>
        </w:rPr>
        <w:t>沿时间维分别通过线性层映射到预测长度</w:t>
      </w:r>
      <w:r>
        <w:rPr>
          <w:i/>
          <w:iCs/>
          <w:szCs w:val="21"/>
        </w:rPr>
        <w:t>H</w:t>
      </w:r>
      <w:r>
        <w:rPr>
          <w:szCs w:val="21"/>
        </w:rPr>
        <w:t>：</w:t>
      </w:r>
    </w:p>
    <w:p w14:paraId="15255C2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Ŷ</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W</m:t>
            </m:r>
          </m:e>
          <m:sub>
            <m:r>
              <m:rPr>
                <m:sty m:val="p"/>
              </m:rPr>
              <w:rPr>
                <w:rFonts w:ascii="Cambria Math" w:eastAsia="Cambria Math" w:hAnsi="Cambria Math"/>
                <w:kern w:val="0"/>
                <w:szCs w:val="20"/>
              </w:rPr>
              <m:t>T</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SubSup>
              <m:sSubSupPr>
                <m:ctrlPr>
                  <w:rPr>
                    <w:rFonts w:ascii="Cambria Math" w:eastAsia="Cambria Math" w:hAnsi="Cambria Math"/>
                    <w:i/>
                  </w:rPr>
                </m:ctrlPr>
              </m:sSubSupPr>
              <m:e>
                <m:r>
                  <m:rPr>
                    <m:sty m:val="bi"/>
                  </m:rPr>
                  <w:rPr>
                    <w:rFonts w:ascii="Cambria Math" w:eastAsia="Cambria Math" w:hAnsi="Cambria Math"/>
                    <w:kern w:val="0"/>
                    <w:szCs w:val="20"/>
                  </w:rPr>
                  <m:t>T</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b</m:t>
            </m:r>
          </m:e>
          <m:sub>
            <m:r>
              <m:rPr>
                <m:sty m:val="p"/>
              </m:rPr>
              <w:rPr>
                <w:rFonts w:ascii="Cambria Math" w:eastAsia="Cambria Math" w:hAnsi="Cambria Math"/>
                <w:kern w:val="0"/>
                <w:szCs w:val="20"/>
              </w:rPr>
              <m:t>T</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W</m:t>
            </m:r>
          </m:e>
          <m:sub>
            <m:r>
              <m:rPr>
                <m:sty m:val="p"/>
              </m:rPr>
              <w:rPr>
                <w:rFonts w:ascii="Cambria Math" w:eastAsia="Cambria Math" w:hAnsi="Cambria Math"/>
                <w:kern w:val="0"/>
                <w:szCs w:val="20"/>
              </w:rPr>
              <m:t>R</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SubSup>
              <m:sSubSupPr>
                <m:ctrlPr>
                  <w:rPr>
                    <w:rFonts w:ascii="Cambria Math" w:eastAsia="Cambria Math" w:hAnsi="Cambria Math"/>
                    <w:i/>
                  </w:rPr>
                </m:ctrlPr>
              </m:sSubSupPr>
              <m:e>
                <m:r>
                  <m:rPr>
                    <m:sty m:val="bi"/>
                  </m:rPr>
                  <w:rPr>
                    <w:rFonts w:ascii="Cambria Math" w:eastAsia="Cambria Math" w:hAnsi="Cambria Math"/>
                    <w:kern w:val="0"/>
                    <w:szCs w:val="20"/>
                  </w:rPr>
                  <m:t>R</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b</m:t>
            </m:r>
          </m:e>
          <m:sub>
            <m:r>
              <m:rPr>
                <m:sty m:val="p"/>
              </m:rPr>
              <w:rPr>
                <w:rFonts w:ascii="Cambria Math" w:eastAsia="Cambria Math" w:hAnsi="Cambria Math"/>
                <w:kern w:val="0"/>
                <w:szCs w:val="20"/>
              </w:rPr>
              <m:t>R</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(8)</w:t>
      </w:r>
    </w:p>
    <w:p w14:paraId="554CD434" w14:textId="77777777" w:rsidR="00B14FA3" w:rsidRPr="00B14FA3" w:rsidRDefault="00B14FA3" w:rsidP="00B14FA3">
      <w:pPr>
        <w:spacing w:line="360" w:lineRule="auto"/>
      </w:pPr>
      <w:r>
        <w:rPr>
          <w:szCs w:val="21"/>
        </w:rPr>
        <w:t>各时间尺度均采用独立的DLinear专家。DLinear通过移动平均将序列分为趋势项和余项，再分别进行线性映射[4]。由于其结构较简单，用作多尺度框架中的基础预测器不会明显增加模型复杂度。同一尺度内，各OD变量共享时间映射参数；不同尺度之间则使用独立参数，以分别学习对应时间分辨率下的变化规律。</w:t>
      </w:r>
      <w:r w:rsidRPr="00B14FA3">
        <w:rPr>
          <w:szCs w:val="21"/>
        </w:rPr>
      </w:r>
      <w:r w:rsidRPr="00B14FA3">
        <w:rPr>
          <w:szCs w:val="21"/>
        </w:rPr>
      </w:r>
      <w:r w:rsidRPr="00B14FA3">
        <w:rPr>
          <w:szCs w:val="21"/>
        </w:rPr>
      </w:r>
      <w:r w:rsidRPr="00B14FA3">
        <w:rPr>
          <w:szCs w:val="21"/>
        </w:rPr>
      </w:r>
      <w:r w:rsidRPr="00B14FA3">
        <w:rPr>
          <w:szCs w:val="21"/>
        </w:rPr>
      </w:r>
    </w:p>
    <w:p w14:paraId="7F75A3C8"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 xml:space="preserve">1.4 </w:t>
      </w:r>
      <w:r w:rsidRPr="00B14FA3">
        <w:rPr>
          <w:rFonts w:eastAsia="黑体"/>
          <w:b/>
          <w:bCs/>
          <w:szCs w:val="21"/>
        </w:rPr>
        <w:t>样本级自适应尺度加权</w:t>
      </w:r>
    </w:p>
    <w:p w14:paraId="5F192824" w14:textId="77777777" w:rsidR="00B14FA3" w:rsidRPr="00B14FA3" w:rsidRDefault="00B14FA3" w:rsidP="00B14FA3">
      <w:pPr>
        <w:spacing w:line="360" w:lineRule="auto"/>
      </w:pPr>
      <w:r>
        <w:rPr>
          <w:szCs w:val="21"/>
        </w:rPr>
        <w:t>得到3个尺度的预测结果后，还需要确定各尺度在当前样本中的占比。固定等权融合对所有输入窗口都使用相同权重，无法反映不同时段流量状态的变化。本文从原始输入Xn中提取四维统计向量zn=[μn,σn,ℓn,dn]，其中</w:t>
      </w:r>
      <w:r>
        <w:rPr>
          <w:b/>
          <w:bCs/>
          <w:i/>
          <w:iCs/>
          <w:szCs w:val="21"/>
        </w:rPr>
      </w:r>
      <w:r>
        <w:rPr>
          <w:i/>
          <w:iCs/>
          <w:szCs w:val="21"/>
          <w:vertAlign w:val="subscript"/>
        </w:rPr>
      </w:r>
      <w:r>
        <w:rPr>
          <w:szCs w:val="21"/>
        </w:rPr>
      </w:r>
      <w:r>
        <w:rPr>
          <w:szCs w:val="21"/>
        </w:rPr>
      </w:r>
      <w:r>
        <w:rPr>
          <w:b/>
          <w:bCs/>
          <w:i/>
          <w:iCs/>
          <w:szCs w:val="21"/>
        </w:rPr>
      </w:r>
      <w:r>
        <w:rPr>
          <w:i/>
          <w:iCs/>
          <w:szCs w:val="21"/>
          <w:vertAlign w:val="subscript"/>
        </w:rPr>
      </w:r>
      <w:r>
        <w:rPr>
          <w:szCs w:val="21"/>
        </w:rPr>
      </w:r>
      <w:r>
        <w:rPr>
          <w:i/>
          <w:iCs/>
          <w:szCs w:val="21"/>
        </w:rPr>
      </w:r>
      <w:r>
        <w:rPr>
          <w:i/>
          <w:iCs/>
          <w:szCs w:val="21"/>
          <w:vertAlign w:val="subscript"/>
        </w:rPr>
      </w:r>
      <w:r>
        <w:rPr>
          <w:szCs w:val="21"/>
        </w:rPr>
      </w:r>
      <w:r>
        <w:rPr>
          <w:i/>
          <w:iCs/>
          <w:szCs w:val="21"/>
        </w:rPr>
      </w:r>
      <w:r>
        <w:rPr>
          <w:i/>
          <w:iCs/>
          <w:szCs w:val="21"/>
          <w:vertAlign w:val="subscript"/>
        </w:rPr>
      </w:r>
      <w:r>
        <w:rPr>
          <w:szCs w:val="21"/>
        </w:rPr>
      </w:r>
      <w:r>
        <w:rPr>
          <w:i/>
          <w:iCs/>
          <w:szCs w:val="21"/>
        </w:rPr>
      </w:r>
      <w:r>
        <w:rPr>
          <w:i/>
          <w:iCs/>
          <w:szCs w:val="21"/>
          <w:vertAlign w:val="subscript"/>
        </w:rPr>
      </w:r>
      <w:r>
        <w:rPr>
          <w:szCs w:val="21"/>
        </w:rPr>
      </w:r>
      <w:r>
        <w:rPr>
          <w:i/>
          <w:iCs/>
          <w:szCs w:val="21"/>
        </w:rPr>
      </w:r>
      <w:r>
        <w:rPr>
          <w:i/>
          <w:iCs/>
          <w:szCs w:val="21"/>
          <w:vertAlign w:val="subscript"/>
        </w:rPr>
      </w:r>
      <w:r>
        <w:rPr>
          <w:szCs w:val="21"/>
        </w:rPr>
      </w:r>
      <w:r>
        <w:rPr>
          <w:szCs w:val="21"/>
        </w:rPr>
      </w:r>
    </w:p>
    <w:p w14:paraId="6325C9EA"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μ</m:t>
            </m:r>
          </m:e>
          <m:sub>
            <m:r>
              <w:rPr>
                <w:rFonts w:ascii="Cambria Math" w:eastAsia="Cambria Math" w:hAnsi="Cambria Math"/>
                <w:kern w:val="0"/>
                <w:szCs w:val="20"/>
              </w:rPr>
              <m:t>n</m:t>
            </m:r>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LC</m:t>
                </m:r>
              </m:den>
            </m:f>
          </m:e>
        </m:d>
        <m:sSub>
          <m:sSubPr>
            <m:ctrlPr>
              <w:rPr>
                <w:rFonts w:ascii="Cambria Math" w:eastAsia="Cambria Math" w:hAnsi="Cambria Math"/>
                <w:i/>
              </w:rPr>
            </m:ctrlPr>
          </m:sSub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t,c</m:t>
                </m:r>
              </m:e>
            </m:d>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n,t,c</m:t>
                    </m:r>
                  </m:e>
                </m:d>
              </m:sub>
            </m:sSub>
          </m:sub>
        </m:sSub>
        <m:r>
          <w:rPr>
            <w:rFonts w:ascii="Cambria Math" w:eastAsia="Cambria Math" w:hAnsi="Cambria Math"/>
            <w:kern w:val="0"/>
            <w:szCs w:val="20"/>
          </w:rPr>
          <m:t xml:space="preserve">,     </m:t>
        </m:r>
        <m:sSub>
          <m:sSubPr>
            <m:ctrlPr>
              <w:rPr>
                <w:rFonts w:ascii="Cambria Math" w:eastAsia="Cambria Math" w:hAnsi="Cambria Math"/>
                <w:i/>
              </w:rPr>
            </m:ctrlPr>
          </m:sSubPr>
          <m:e>
            <m:r>
              <w:rPr>
                <w:rFonts w:ascii="Cambria Math" w:eastAsia="Cambria Math" w:hAnsi="Cambria Math"/>
                <w:kern w:val="0"/>
                <w:szCs w:val="20"/>
              </w:rPr>
              <m:t>σ</m:t>
            </m:r>
          </m:e>
          <m:sub>
            <m:r>
              <w:rPr>
                <w:rFonts w:ascii="Cambria Math" w:eastAsia="Cambria Math" w:hAnsi="Cambria Math"/>
                <w:kern w:val="0"/>
                <w:szCs w:val="20"/>
              </w:rPr>
              <m:t>n</m:t>
            </m:r>
          </m:sub>
        </m:sSub>
        <m:r>
          <w:rPr>
            <w:rFonts w:ascii="Cambria Math" w:eastAsia="Cambria Math" w:hAnsi="Cambria Math"/>
            <w:kern w:val="0"/>
            <w:szCs w:val="20"/>
          </w:rPr>
          <m:t>=</m:t>
        </m:r>
        <m:rad>
          <m:radPr>
            <m:degHide m:val="1"/>
            <m:ctrlPr>
              <w:rPr>
                <w:rFonts w:ascii="Cambria Math" w:eastAsia="Cambria Math" w:hAnsi="Cambria Math"/>
                <w:i/>
              </w:rPr>
            </m:ctrlPr>
          </m:radPr>
          <m:deg/>
          <m:e>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LC</m:t>
                    </m:r>
                  </m:den>
                </m:f>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t,c</m:t>
                    </m:r>
                  </m:e>
                </m:d>
                <m:d>
                  <m:dPr>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n,t,c</m:t>
                            </m:r>
                          </m:e>
                        </m:d>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μ</m:t>
                        </m:r>
                      </m:e>
                      <m:sub>
                        <m:r>
                          <w:rPr>
                            <w:rFonts w:ascii="Cambria Math" w:eastAsia="Cambria Math" w:hAnsi="Cambria Math"/>
                            <w:kern w:val="0"/>
                            <w:szCs w:val="20"/>
                          </w:rPr>
                          <m:t>n</m:t>
                        </m:r>
                      </m:sub>
                    </m:sSub>
                  </m:e>
                </m:d>
              </m:sub>
              <m:sup>
                <m:r>
                  <w:rPr>
                    <w:rFonts w:ascii="Cambria Math" w:eastAsia="Cambria Math" w:hAnsi="Cambria Math"/>
                    <w:kern w:val="0"/>
                    <w:szCs w:val="20"/>
                  </w:rPr>
                  <m:t>2</m:t>
                </m:r>
              </m:sup>
            </m:sSubSup>
          </m:e>
        </m:rad>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(9)</w:t>
      </w:r>
    </w:p>
    <w:p w14:paraId="3BBFF1DF"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cr m:val="script"/>
              </m:rPr>
              <w:rPr>
                <w:rFonts w:ascii="Cambria Math" w:eastAsia="Cambria Math" w:hAnsi="Cambria Math"/>
                <w:kern w:val="0"/>
                <w:szCs w:val="20"/>
              </w:rPr>
              <m:t>l</m:t>
            </m:r>
          </m:e>
          <m:sub>
            <m:r>
              <w:rPr>
                <w:rFonts w:ascii="Cambria Math" w:eastAsia="Cambria Math" w:hAnsi="Cambria Math"/>
                <w:kern w:val="0"/>
                <w:szCs w:val="20"/>
              </w:rPr>
              <m:t>n</m:t>
            </m:r>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C</m:t>
                </m:r>
              </m:den>
            </m:f>
          </m:e>
        </m:d>
        <m:sSub>
          <m:sSubPr>
            <m:ctrlPr>
              <w:rPr>
                <w:rFonts w:ascii="Cambria Math" w:eastAsia="Cambria Math" w:hAnsi="Cambria Math"/>
                <w:i/>
              </w:rPr>
            </m:ctrlPr>
          </m:sSubPr>
          <m:e>
            <m:r>
              <w:rPr>
                <w:rFonts w:ascii="Cambria Math" w:eastAsia="Cambria Math" w:hAnsi="Cambria Math"/>
                <w:kern w:val="0"/>
                <w:szCs w:val="20"/>
              </w:rPr>
              <m:t>Σ</m:t>
            </m:r>
          </m:e>
          <m:sub>
            <m:r>
              <w:rPr>
                <w:rFonts w:ascii="Cambria Math" w:eastAsia="Cambria Math" w:hAnsi="Cambria Math"/>
                <w:kern w:val="0"/>
                <w:szCs w:val="20"/>
              </w:rPr>
              <m:t>c</m:t>
            </m:r>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n,L-1,c</m:t>
                    </m:r>
                  </m:e>
                </m:d>
              </m:sub>
            </m:sSub>
          </m:sub>
        </m:sSub>
        <m:r>
          <w:rPr>
            <w:rFonts w:ascii="Cambria Math" w:eastAsia="Cambria Math" w:hAnsi="Cambria Math"/>
            <w:kern w:val="0"/>
            <w:szCs w:val="20"/>
          </w:rPr>
          <m:t xml:space="preserve">,     </m:t>
        </m:r>
        <m:sSub>
          <m:sSubPr>
            <m:ctrlPr>
              <w:rPr>
                <w:rFonts w:ascii="Cambria Math" w:eastAsia="Cambria Math" w:hAnsi="Cambria Math"/>
                <w:i/>
              </w:rPr>
            </m:ctrlPr>
          </m:sSubPr>
          <m:e>
            <m:r>
              <w:rPr>
                <w:rFonts w:ascii="Cambria Math" w:eastAsia="Cambria Math" w:hAnsi="Cambria Math"/>
                <w:kern w:val="0"/>
                <w:szCs w:val="20"/>
              </w:rPr>
              <m:t>d</m:t>
            </m:r>
          </m:e>
          <m:sub>
            <m:r>
              <w:rPr>
                <w:rFonts w:ascii="Cambria Math" w:eastAsia="Cambria Math" w:hAnsi="Cambria Math"/>
                <w:kern w:val="0"/>
                <w:szCs w:val="20"/>
              </w:rPr>
              <m:t>n</m:t>
            </m:r>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d>
                  <m:dPr>
                    <m:ctrlPr>
                      <w:rPr>
                        <w:rFonts w:ascii="Cambria Math" w:eastAsia="Cambria Math" w:hAnsi="Cambria Math"/>
                        <w:i/>
                      </w:rPr>
                    </m:ctrlPr>
                  </m:dPr>
                  <m:e>
                    <m:r>
                      <w:rPr>
                        <w:rFonts w:ascii="Cambria Math" w:eastAsia="Cambria Math" w:hAnsi="Cambria Math"/>
                        <w:kern w:val="0"/>
                        <w:szCs w:val="20"/>
                      </w:rPr>
                      <m:t>L-1</m:t>
                    </m:r>
                  </m:e>
                </m:d>
                <m:r>
                  <w:rPr>
                    <w:rFonts w:ascii="Cambria Math" w:eastAsia="Cambria Math" w:hAnsi="Cambria Math"/>
                    <w:kern w:val="0"/>
                    <w:szCs w:val="20"/>
                  </w:rPr>
                  <m:t>C</m:t>
                </m:r>
              </m:den>
            </m:f>
          </m:e>
        </m:d>
        <m:sSub>
          <m:sSubPr>
            <m:ctrlPr>
              <w:rPr>
                <w:rFonts w:ascii="Cambria Math" w:eastAsia="Cambria Math" w:hAnsi="Cambria Math"/>
                <w:i/>
              </w:rPr>
            </m:ctrlPr>
          </m:sSubPr>
          <m:e>
            <m:r>
              <w:rPr>
                <w:rFonts w:ascii="Cambria Math" w:eastAsia="Cambria Math" w:hAnsi="Cambria Math"/>
                <w:kern w:val="0"/>
                <w:szCs w:val="20"/>
              </w:rPr>
              <m:t>Σ</m:t>
            </m:r>
          </m:e>
          <m:sub>
            <m:sSubSup>
              <m:sSubSupPr>
                <m:ctrlPr>
                  <w:rPr>
                    <w:rFonts w:ascii="Cambria Math" w:eastAsia="Cambria Math" w:hAnsi="Cambria Math"/>
                    <w:i/>
                  </w:rPr>
                </m:ctrlPr>
              </m:sSubSupPr>
              <m:e>
                <m:d>
                  <m:dPr>
                    <m:begChr m:val="{"/>
                    <m:endChr m:val="}"/>
                    <m:ctrlPr>
                      <w:rPr>
                        <w:rFonts w:ascii="Cambria Math" w:eastAsia="Cambria Math" w:hAnsi="Cambria Math"/>
                        <w:i/>
                      </w:rPr>
                    </m:ctrlPr>
                  </m:dPr>
                  <m:e>
                    <m:r>
                      <w:rPr>
                        <w:rFonts w:ascii="Cambria Math" w:eastAsia="Cambria Math" w:hAnsi="Cambria Math"/>
                        <w:kern w:val="0"/>
                        <w:szCs w:val="20"/>
                      </w:rPr>
                      <m:t>t=1</m:t>
                    </m:r>
                  </m:e>
                </m:d>
              </m:e>
              <m:sub>
                <m:r>
                  <w:rPr>
                    <w:rFonts w:ascii="Cambria Math" w:eastAsia="Cambria Math" w:hAnsi="Cambria Math"/>
                    <w:kern w:val="0"/>
                    <w:szCs w:val="20"/>
                  </w:rPr>
                  <m:t>c</m:t>
                </m:r>
                <m:d>
                  <m:dPr>
                    <m:begChr m:val="|"/>
                    <m:endChr m:val="|"/>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n,t,c</m:t>
                            </m:r>
                          </m:e>
                        </m:d>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n,t-1,c</m:t>
                            </m:r>
                          </m:e>
                        </m:d>
                      </m:sub>
                    </m:sSub>
                  </m:e>
                </m:d>
              </m:sub>
              <m:sup>
                <m:d>
                  <m:dPr>
                    <m:begChr m:val="{"/>
                    <m:endChr m:val="}"/>
                    <m:ctrlPr>
                      <w:rPr>
                        <w:rFonts w:ascii="Cambria Math" w:eastAsia="Cambria Math" w:hAnsi="Cambria Math"/>
                        <w:i/>
                      </w:rPr>
                    </m:ctrlPr>
                  </m:dPr>
                  <m:e>
                    <m:r>
                      <w:rPr>
                        <w:rFonts w:ascii="Cambria Math" w:eastAsia="Cambria Math" w:hAnsi="Cambria Math"/>
                        <w:kern w:val="0"/>
                        <w:szCs w:val="20"/>
                      </w:rPr>
                      <m:t>L-1</m:t>
                    </m:r>
                  </m:e>
                </m:d>
                <m:r>
                  <w:rPr>
                    <w:rFonts w:ascii="Cambria Math" w:eastAsia="Cambria Math" w:hAnsi="Cambria Math"/>
                    <w:kern w:val="0"/>
                    <w:szCs w:val="20"/>
                  </w:rPr>
                  <m:t>Σ</m:t>
                </m:r>
              </m:sup>
            </m:sSubSup>
          </m:sub>
        </m:sSub>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(10)</w:t>
      </w:r>
    </w:p>
    <w:p w14:paraId="4DAEC603" w14:textId="77777777" w:rsidR="00B14FA3" w:rsidRPr="00B14FA3" w:rsidRDefault="00B14FA3" w:rsidP="00B14FA3">
      <w:pPr>
        <w:spacing w:line="360" w:lineRule="auto"/>
      </w:pPr>
      <w:r>
        <w:rPr>
          <w:i/>
          <w:iCs/>
          <w:szCs w:val="21"/>
        </w:rPr>
        <w:t>μn、σn、ℓn和dn分别表示输入窗口的总体水平、离散程度、最近状态和平均变化强度。这4个统计量用于概括当前窗口的基本状态，并输入隐藏维数为16的两层感知器，得到3个尺度对应的分数。路由网络只使用低维统计特征，因此增加的计算量较小。</w:t>
      </w:r>
      <w:r>
        <w:rPr>
          <w:i/>
          <w:iCs/>
          <w:szCs w:val="21"/>
          <w:vertAlign w:val="subscript"/>
        </w:rPr>
      </w:r>
      <w:r>
        <w:rPr>
          <w:szCs w:val="21"/>
        </w:rPr>
      </w:r>
      <w:r>
        <w:rPr>
          <w:i/>
          <w:iCs/>
          <w:szCs w:val="21"/>
        </w:rPr>
      </w:r>
      <w:r>
        <w:rPr>
          <w:i/>
          <w:iCs/>
          <w:szCs w:val="21"/>
          <w:vertAlign w:val="subscript"/>
        </w:rPr>
      </w:r>
      <w:r>
        <w:rPr>
          <w:szCs w:val="21"/>
        </w:rPr>
      </w:r>
      <w:r>
        <w:rPr>
          <w:i/>
          <w:iCs/>
          <w:szCs w:val="21"/>
        </w:rPr>
      </w:r>
      <w:r>
        <w:rPr>
          <w:i/>
          <w:iCs/>
          <w:szCs w:val="21"/>
          <w:vertAlign w:val="subscript"/>
        </w:rPr>
      </w:r>
      <w:r>
        <w:rPr>
          <w:szCs w:val="21"/>
        </w:rPr>
      </w:r>
      <w:r>
        <w:rPr>
          <w:i/>
          <w:iCs/>
          <w:szCs w:val="21"/>
        </w:rPr>
      </w:r>
      <w:r>
        <w:rPr>
          <w:i/>
          <w:iCs/>
          <w:szCs w:val="21"/>
          <w:vertAlign w:val="subscript"/>
        </w:rPr>
      </w:r>
      <w:r>
        <w:rPr>
          <w:szCs w:val="21"/>
        </w:rPr>
      </w:r>
      <w:r>
        <w:rPr>
          <w:szCs w:val="21"/>
        </w:rPr>
      </w:r>
      <w:r>
        <w:rPr>
          <w:szCs w:val="21"/>
        </w:rPr>
      </w:r>
    </w:p>
    <w:p w14:paraId="44EF3E4D"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ty m:val="bi"/>
              </m:rPr>
              <w:rPr>
                <w:rFonts w:ascii="Cambria Math" w:eastAsia="Cambria Math" w:hAnsi="Cambria Math"/>
                <w:kern w:val="0"/>
                <w:szCs w:val="20"/>
              </w:rPr>
              <m:t>a</m:t>
            </m:r>
          </m:e>
          <m:sub>
            <m:r>
              <w:rPr>
                <w:rFonts w:ascii="Cambria Math" w:eastAsia="Cambria Math" w:hAnsi="Cambria Math"/>
                <w:kern w:val="0"/>
                <w:szCs w:val="20"/>
              </w:rPr>
              <m:t>n</m:t>
            </m:r>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W</m:t>
            </m:r>
          </m:e>
          <m:sub>
            <m:r>
              <m:rPr>
                <m:sty m:val="p"/>
              </m:rPr>
              <w:rPr>
                <w:rFonts w:ascii="Cambria Math" w:eastAsia="Cambria Math" w:hAnsi="Cambria Math"/>
                <w:kern w:val="0"/>
                <w:szCs w:val="20"/>
              </w:rPr>
              <m:t>2ReLU</m:t>
            </m:r>
            <m:d>
              <m:dPr>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W</m:t>
                    </m:r>
                  </m:e>
                  <m:sub>
                    <m:r>
                      <w:rPr>
                        <w:rFonts w:ascii="Cambria Math" w:eastAsia="Cambria Math" w:hAnsi="Cambria Math"/>
                        <w:kern w:val="0"/>
                        <w:szCs w:val="20"/>
                      </w:rPr>
                      <m:t>1</m:t>
                    </m:r>
                    <m:sSub>
                      <m:sSubPr>
                        <m:ctrlPr>
                          <w:rPr>
                            <w:rFonts w:ascii="Cambria Math" w:eastAsia="Cambria Math" w:hAnsi="Cambria Math"/>
                            <w:i/>
                          </w:rPr>
                        </m:ctrlPr>
                      </m:sSubPr>
                      <m:e>
                        <m:r>
                          <m:rPr>
                            <m:sty m:val="bi"/>
                          </m:rPr>
                          <w:rPr>
                            <w:rFonts w:ascii="Cambria Math" w:eastAsia="Cambria Math" w:hAnsi="Cambria Math"/>
                            <w:kern w:val="0"/>
                            <w:szCs w:val="20"/>
                          </w:rPr>
                          <m:t>z</m:t>
                        </m:r>
                      </m:e>
                      <m:sub>
                        <m:r>
                          <w:rPr>
                            <w:rFonts w:ascii="Cambria Math" w:eastAsia="Cambria Math" w:hAnsi="Cambria Math"/>
                            <w:kern w:val="0"/>
                            <w:szCs w:val="20"/>
                          </w:rPr>
                          <m:t>n</m:t>
                        </m:r>
                      </m:sub>
                    </m:sSub>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b</m:t>
                    </m:r>
                  </m:e>
                  <m:sub>
                    <m:r>
                      <w:rPr>
                        <w:rFonts w:ascii="Cambria Math" w:eastAsia="Cambria Math" w:hAnsi="Cambria Math"/>
                        <w:kern w:val="0"/>
                        <w:szCs w:val="20"/>
                      </w:rPr>
                      <m:t>1</m:t>
                    </m:r>
                  </m:sub>
                </m:sSub>
              </m:e>
            </m:d>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b</m:t>
            </m:r>
          </m:e>
          <m:sub>
            <m:r>
              <w:rPr>
                <w:rFonts w:ascii="Cambria Math" w:eastAsia="Cambria Math" w:hAnsi="Cambria Math"/>
                <w:kern w:val="0"/>
                <w:szCs w:val="20"/>
              </w:rPr>
              <m:t>2</m:t>
            </m:r>
          </m:sub>
        </m:sSub>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(11)</w:t>
      </w:r>
    </w:p>
    <w:p w14:paraId="2935E851" w14:textId="77777777" w:rsidR="00B14FA3" w:rsidRPr="00B14FA3" w:rsidRDefault="00B14FA3" w:rsidP="00B14FA3">
      <w:pPr>
        <w:spacing w:line="360" w:lineRule="auto"/>
      </w:pPr>
      <w:r>
        <w:rPr>
          <w:szCs w:val="21"/>
        </w:rPr>
        <w:t>Softmax将三个尺度分数转换为非负且和为1的权重：</w:t>
      </w:r>
      <w:r w:rsidRPr="00B14FA3">
        <w:rPr>
          <w:szCs w:val="21"/>
        </w:rPr>
      </w:r>
      <w:r w:rsidRPr="00B14FA3">
        <w:rPr>
          <w:szCs w:val="21"/>
        </w:rPr>
      </w:r>
      <w:r w:rsidRPr="00B14FA3">
        <w:rPr>
          <w:szCs w:val="21"/>
        </w:rPr>
      </w:r>
      <w:r w:rsidRPr="00B14FA3">
        <w:rPr>
          <w:szCs w:val="21"/>
        </w:rPr>
      </w:r>
    </w:p>
    <w:p w14:paraId="141E24D3"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r>
          <w:rPr>
            <w:rFonts w:ascii="Cambria Math" w:eastAsia="Cambria Math" w:hAnsi="Cambria Math"/>
            <w:kern w:val="0"/>
            <w:szCs w:val="20"/>
          </w:rPr>
          <m:t>=</m:t>
        </m:r>
        <m:f>
          <m:fPr>
            <m:ctrlPr>
              <w:rPr>
                <w:rFonts w:ascii="Cambria Math" w:eastAsia="Cambria Math" w:hAnsi="Cambria Math"/>
                <w:i/>
              </w:rPr>
            </m:ctrlPr>
          </m:fPr>
          <m:num>
            <m:func>
              <m:funcPr>
                <m:ctrlPr>
                  <w:rPr>
                    <w:rFonts w:ascii="Cambria Math" w:eastAsia="Cambria Math" w:hAnsi="Cambria Math"/>
                  </w:rPr>
                </m:ctrlPr>
              </m:funcPr>
              <m:fName>
                <m:r>
                  <m:rPr>
                    <m:sty m:val="p"/>
                  </m:rPr>
                  <w:rPr>
                    <w:rFonts w:ascii="Cambria Math" w:eastAsia="Cambria Math" w:hAnsi="Cambria Math"/>
                    <w:kern w:val="0"/>
                    <w:szCs w:val="20"/>
                  </w:rPr>
                  <m:t>exp</m:t>
                </m:r>
                <m:ctrlPr>
                  <w:rPr>
                    <w:rFonts w:ascii="Cambria Math" w:eastAsia="Cambria Math" w:hAnsi="Cambria Math"/>
                    <w:i/>
                  </w:rPr>
                </m:ctrlPr>
              </m:fName>
              <m:e>
                <m:d>
                  <m:dPr>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a</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e>
                </m:d>
              </m:e>
            </m:func>
          </m:num>
          <m:den>
            <m:func>
              <m:funcPr>
                <m:ctrlPr>
                  <w:rPr>
                    <w:rFonts w:ascii="Cambria Math" w:eastAsia="Cambria Math" w:hAnsi="Cambria Math"/>
                  </w:rPr>
                </m:ctrlPr>
              </m:funcPr>
              <m:fName>
                <m:sSub>
                  <m:sSubPr>
                    <m:ctrlPr>
                      <w:rPr>
                        <w:rFonts w:ascii="Cambria Math" w:eastAsia="Cambria Math" w:hAnsi="Cambria Math"/>
                        <w:i/>
                      </w:rPr>
                    </m:ctrlPr>
                  </m:sSub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j∈S</m:t>
                        </m:r>
                      </m:e>
                    </m:d>
                    <m:r>
                      <m:rPr>
                        <m:sty m:val="p"/>
                      </m:rPr>
                      <w:rPr>
                        <w:rFonts w:ascii="Cambria Math" w:eastAsia="Cambria Math" w:hAnsi="Cambria Math"/>
                        <w:kern w:val="0"/>
                        <w:szCs w:val="20"/>
                      </w:rPr>
                      <m:t>exp</m:t>
                    </m:r>
                  </m:sub>
                </m:sSub>
                <m:ctrlPr>
                  <w:rPr>
                    <w:rFonts w:ascii="Cambria Math" w:eastAsia="Cambria Math" w:hAnsi="Cambria Math"/>
                    <w:i/>
                  </w:rPr>
                </m:ctrlPr>
              </m:fName>
              <m:e>
                <m:d>
                  <m:dPr>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a</m:t>
                        </m:r>
                      </m:e>
                      <m:sub>
                        <m:d>
                          <m:dPr>
                            <m:begChr m:val="{"/>
                            <m:endChr m:val="}"/>
                            <m:ctrlPr>
                              <w:rPr>
                                <w:rFonts w:ascii="Cambria Math" w:eastAsia="Cambria Math" w:hAnsi="Cambria Math"/>
                                <w:i/>
                              </w:rPr>
                            </m:ctrlPr>
                          </m:dPr>
                          <m:e>
                            <m:r>
                              <w:rPr>
                                <w:rFonts w:ascii="Cambria Math" w:eastAsia="Cambria Math" w:hAnsi="Cambria Math"/>
                                <w:kern w:val="0"/>
                                <w:szCs w:val="20"/>
                              </w:rPr>
                              <m:t>n,j</m:t>
                            </m:r>
                          </m:e>
                        </m:d>
                      </m:sub>
                    </m:sSub>
                  </m:e>
                </m:d>
              </m:e>
            </m:func>
          </m:den>
        </m:f>
        <m:r>
          <w:rPr>
            <w:rFonts w:ascii="Cambria Math" w:eastAsia="Cambria Math" w:hAnsi="Cambria Math"/>
            <w:kern w:val="0"/>
            <w:szCs w:val="20"/>
          </w:rPr>
          <m:t xml:space="preserve">,     </m:t>
        </m:r>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r>
          <w:rPr>
            <w:rFonts w:ascii="Cambria Math" w:eastAsia="Cambria Math" w:hAnsi="Cambria Math"/>
            <w:kern w:val="0"/>
            <w:szCs w:val="20"/>
          </w:rPr>
          <m:t xml:space="preserve">≥0,     </m:t>
        </m:r>
        <m:sSub>
          <m:sSubPr>
            <m:ctrlPr>
              <w:rPr>
                <w:rFonts w:ascii="Cambria Math" w:eastAsia="Cambria Math" w:hAnsi="Cambria Math"/>
                <w:i/>
              </w:rPr>
            </m:ctrlPr>
          </m:sSubPr>
          <m:e>
            <m:r>
              <w:rPr>
                <w:rFonts w:ascii="Cambria Math" w:eastAsia="Cambria Math" w:hAnsi="Cambria Math"/>
                <w:kern w:val="0"/>
                <w:szCs w:val="20"/>
              </w:rPr>
              <m:t>Σ</m:t>
            </m:r>
          </m:e>
          <m:sub>
            <m:r>
              <w:rPr>
                <w:rFonts w:ascii="Cambria Math" w:eastAsia="Cambria Math" w:hAnsi="Cambria Math"/>
                <w:kern w:val="0"/>
                <w:szCs w:val="20"/>
              </w:rPr>
              <m:t>s</m:t>
            </m:r>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sub>
        </m:sSub>
        <m:r>
          <w:rPr>
            <w:rFonts w:ascii="Cambria Math" w:eastAsia="Cambria Math" w:hAnsi="Cambria Math"/>
            <w:kern w:val="0"/>
            <w:szCs w:val="20"/>
          </w:rPr>
          <m:t>=1.</m:t>
        </m:r>
      </m:oMath>
      <w:r w:rsidRPr="00B14FA3">
        <w:rPr>
          <w:rFonts w:ascii="Cambria Math" w:eastAsia="Cambria Math" w:hAnsi="Cambria Math"/>
          <w:kern w:val="0"/>
          <w:szCs w:val="20"/>
        </w:rPr>
        <w:tab/>
      </w:r>
      <w:r w:rsidRPr="00B14FA3">
        <w:rPr>
          <w:kern w:val="0"/>
          <w:szCs w:val="20"/>
        </w:rPr>
        <w:t>(12)</w:t>
      </w:r>
    </w:p>
    <w:p w14:paraId="63776B5F" w14:textId="77777777" w:rsidR="00B14FA3" w:rsidRPr="00B14FA3" w:rsidRDefault="00B14FA3" w:rsidP="00B14FA3">
      <w:pPr>
        <w:spacing w:line="360" w:lineRule="auto"/>
      </w:pPr>
      <w:r w:rsidRPr="00B14FA3">
        <w:rPr>
          <w:szCs w:val="21"/>
        </w:rPr>
        <w:t>最终预测为</w:t>
      </w:r>
    </w:p>
    <w:p w14:paraId="775F089B"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ty m:val="bi"/>
              </m:rPr>
              <w:rPr>
                <w:rFonts w:ascii="Cambria Math" w:eastAsia="Cambria Math" w:hAnsi="Cambria Math"/>
                <w:kern w:val="0"/>
                <w:szCs w:val="20"/>
              </w:rPr>
              <m:t>Ŷ</m:t>
            </m:r>
          </m:e>
          <m:sub>
            <m:r>
              <w:rPr>
                <w:rFonts w:ascii="Cambria Math" w:eastAsia="Cambria Math" w:hAnsi="Cambria Math"/>
                <w:kern w:val="0"/>
                <w:szCs w:val="20"/>
              </w:rPr>
              <m:t>n</m:t>
            </m:r>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s∈S</m:t>
                </m:r>
              </m:e>
            </m:d>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SubSup>
                  <m:sSubSupPr>
                    <m:ctrlPr>
                      <w:rPr>
                        <w:rFonts w:ascii="Cambria Math" w:eastAsia="Cambria Math" w:hAnsi="Cambria Math"/>
                        <w:i/>
                      </w:rPr>
                    </m:ctrlPr>
                  </m:sSubSupPr>
                  <m:e>
                    <m:r>
                      <m:rPr>
                        <m:sty m:val="bi"/>
                      </m:rPr>
                      <w:rPr>
                        <w:rFonts w:ascii="Cambria Math" w:eastAsia="Cambria Math" w:hAnsi="Cambria Math"/>
                        <w:kern w:val="0"/>
                        <w:szCs w:val="20"/>
                      </w:rPr>
                      <m:t>Ŷ</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b>
            </m:sSub>
          </m:sub>
        </m:sSub>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(13)</w:t>
      </w:r>
    </w:p>
    <w:p w14:paraId="13DA0E22" w14:textId="77777777" w:rsidR="00B14FA3" w:rsidRPr="00B14FA3" w:rsidRDefault="00B14FA3" w:rsidP="00B14FA3">
      <w:pPr>
        <w:spacing w:line="360" w:lineRule="auto"/>
      </w:pPr>
      <w:r>
        <w:rPr>
          <w:szCs w:val="21"/>
        </w:rPr>
        <w:t>经Softmax归一化后，每个样本得到一组和为1的尺度权重，该组权重在同一时间窗口内由全部OD变量共享。这样既可以让尺度比例随输入样本变化，也可以避免路由器参数量随OD变量数增长。固定等权消融模型将3个尺度权重统一设为1/3，其尺度集合、专家结构和训练过程均保持不变。</w:t>
      </w:r>
      <w:r>
        <w:rPr>
          <w:szCs w:val="21"/>
        </w:rPr>
      </w:r>
      <w:r>
        <w:rPr>
          <w:szCs w:val="21"/>
        </w:rPr>
      </w:r>
      <w:r>
        <w:rPr>
          <w:i/>
          <w:iCs/>
          <w:szCs w:val="21"/>
        </w:rPr>
      </w:r>
      <w:r>
        <w:rPr>
          <w:i/>
          <w:iCs/>
          <w:szCs w:val="21"/>
          <w:vertAlign w:val="subscript"/>
        </w:rPr>
      </w:r>
      <w:r>
        <w:rPr>
          <w:szCs w:val="21"/>
        </w:rPr>
      </w:r>
      <w:r>
        <w:rPr>
          <w:szCs w:val="21"/>
        </w:rPr>
      </w:r>
    </w:p>
    <w:p w14:paraId="2F5CF084" w14:textId="77777777" w:rsidR="00B14FA3" w:rsidRPr="00B14FA3" w:rsidRDefault="00B14FA3" w:rsidP="00B14FA3">
      <w:pPr>
        <w:keepNext/>
        <w:keepLines/>
        <w:spacing w:before="80" w:after="20" w:line="415" w:lineRule="auto"/>
        <w:ind w:firstLine="0"/>
        <w:jc w:val="left"/>
        <w:outlineLvl w:val="1"/>
        <w:rPr>
          <w:rFonts w:eastAsia="黑体"/>
          <w:b/>
          <w:bCs/>
          <w:szCs w:val="32"/>
        </w:rPr>
      </w:pPr>
      <w:r>
        <w:rPr>
          <w:rFonts w:eastAsia="黑体"/>
          <w:b/>
          <w:bCs/>
          <w:szCs w:val="21"/>
        </w:rPr>
        <w:t xml:space="preserve">1.5 </w:t>
      </w:r>
      <w:r>
        <w:rPr>
          <w:rFonts w:eastAsia="黑体"/>
          <w:b/>
          <w:bCs/>
          <w:szCs w:val="21"/>
        </w:rPr>
        <w:t>训练目标与模型复杂度</w:t>
      </w:r>
    </w:p>
    <w:p w14:paraId="1B83BA58" w14:textId="77777777" w:rsidR="00B14FA3" w:rsidRPr="00B14FA3" w:rsidRDefault="00B14FA3" w:rsidP="00B14FA3">
      <w:pPr>
        <w:spacing w:line="360" w:lineRule="auto"/>
      </w:pPr>
      <w:r w:rsidRPr="00B14FA3">
        <w:rPr>
          <w:szCs w:val="21"/>
        </w:rPr>
        <w:t>模型以所有样本、预测时刻和</w:t>
      </w:r>
      <w:r w:rsidRPr="00B14FA3">
        <w:rPr>
          <w:szCs w:val="21"/>
        </w:rPr>
        <w:t>OD</w:t>
      </w:r>
      <w:r w:rsidRPr="00B14FA3">
        <w:rPr>
          <w:szCs w:val="21"/>
        </w:rPr>
        <w:t>变量上的均方误差为目标：</w:t>
      </w:r>
    </w:p>
    <w:p w14:paraId="279072E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L</m:t>
            </m:r>
          </m:e>
          <m:sub>
            <m:d>
              <m:dPr>
                <m:begChr m:val="{"/>
                <m:endChr m:val="}"/>
                <m:ctrlPr>
                  <w:rPr>
                    <w:rFonts w:ascii="Cambria Math" w:eastAsia="Cambria Math" w:hAnsi="Cambria Math"/>
                    <w:i/>
                  </w:rPr>
                </m:ctrlPr>
              </m:dPr>
              <m:e>
                <m:r>
                  <m:rPr>
                    <m:sty m:val="p"/>
                  </m:rPr>
                  <w:rPr>
                    <w:rFonts w:ascii="Cambria Math" w:eastAsia="Cambria Math" w:hAnsi="Cambria Math"/>
                    <w:kern w:val="0"/>
                    <w:szCs w:val="20"/>
                  </w:rPr>
                  <m:t>MSE</m:t>
                </m:r>
              </m:e>
            </m:d>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NHC</m:t>
                </m:r>
              </m:den>
            </m:f>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n=1</m:t>
                </m:r>
              </m:e>
            </m:d>
          </m:sub>
          <m:sup>
            <m:d>
              <m:dPr>
                <m:begChr m:val="{"/>
                <m:endChr m:val="}"/>
                <m:ctrlPr>
                  <w:rPr>
                    <w:rFonts w:ascii="Cambria Math" w:eastAsia="Cambria Math" w:hAnsi="Cambria Math"/>
                    <w:i/>
                  </w:rPr>
                </m:ctrlPr>
              </m:dPr>
              <m:e>
                <m:r>
                  <w:rPr>
                    <w:rFonts w:ascii="Cambria Math" w:eastAsia="Cambria Math" w:hAnsi="Cambria Math"/>
                    <w:kern w:val="0"/>
                    <w:szCs w:val="20"/>
                  </w:rPr>
                  <m:t>N</m:t>
                </m:r>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h=1</m:t>
                    </m:r>
                  </m:e>
                </m:d>
              </m:sub>
              <m:sup>
                <m:d>
                  <m:dPr>
                    <m:begChr m:val="{"/>
                    <m:endChr m:val="}"/>
                    <m:ctrlPr>
                      <w:rPr>
                        <w:rFonts w:ascii="Cambria Math" w:eastAsia="Cambria Math" w:hAnsi="Cambria Math"/>
                        <w:i/>
                      </w:rPr>
                    </m:ctrlPr>
                  </m:dPr>
                  <m:e>
                    <m:r>
                      <w:rPr>
                        <w:rFonts w:ascii="Cambria Math" w:eastAsia="Cambria Math" w:hAnsi="Cambria Math"/>
                        <w:kern w:val="0"/>
                        <w:szCs w:val="20"/>
                      </w:rPr>
                      <m:t>H</m:t>
                    </m:r>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c=1</m:t>
                        </m:r>
                      </m:e>
                    </m:d>
                  </m:sub>
                  <m:sup>
                    <m:d>
                      <m:dPr>
                        <m:begChr m:val="{"/>
                        <m:endChr m:val="}"/>
                        <m:ctrlPr>
                          <w:rPr>
                            <w:rFonts w:ascii="Cambria Math" w:eastAsia="Cambria Math" w:hAnsi="Cambria Math"/>
                            <w:i/>
                          </w:rPr>
                        </m:ctrlPr>
                      </m:dPr>
                      <m:e>
                        <m:r>
                          <w:rPr>
                            <w:rFonts w:ascii="Cambria Math" w:eastAsia="Cambria Math" w:hAnsi="Cambria Math"/>
                            <w:kern w:val="0"/>
                            <w:szCs w:val="20"/>
                          </w:rPr>
                          <m:t>C</m:t>
                        </m:r>
                      </m:e>
                    </m:d>
                    <m:sSup>
                      <m:sSupPr>
                        <m:ctrlPr>
                          <w:rPr>
                            <w:rFonts w:ascii="Cambria Math" w:eastAsia="Cambria Math" w:hAnsi="Cambria Math"/>
                            <w:i/>
                          </w:rPr>
                        </m:ctrlPr>
                      </m:sSupPr>
                      <m:e>
                        <m:d>
                          <m:dPr>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Y</m:t>
                                </m:r>
                              </m:e>
                              <m:sub>
                                <m:d>
                                  <m:dPr>
                                    <m:begChr m:val="{"/>
                                    <m:endChr m:val="}"/>
                                    <m:ctrlPr>
                                      <w:rPr>
                                        <w:rFonts w:ascii="Cambria Math" w:eastAsia="Cambria Math" w:hAnsi="Cambria Math"/>
                                        <w:i/>
                                      </w:rPr>
                                    </m:ctrlPr>
                                  </m:dPr>
                                  <m:e>
                                    <m:r>
                                      <w:rPr>
                                        <w:rFonts w:ascii="Cambria Math" w:eastAsia="Cambria Math" w:hAnsi="Cambria Math"/>
                                        <w:kern w:val="0"/>
                                        <w:szCs w:val="20"/>
                                      </w:rPr>
                                      <m:t>n,h,c</m:t>
                                    </m:r>
                                  </m:e>
                                </m:d>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Ŷ</m:t>
                                </m:r>
                              </m:e>
                              <m:sub>
                                <m:d>
                                  <m:dPr>
                                    <m:begChr m:val="{"/>
                                    <m:endChr m:val="}"/>
                                    <m:ctrlPr>
                                      <w:rPr>
                                        <w:rFonts w:ascii="Cambria Math" w:eastAsia="Cambria Math" w:hAnsi="Cambria Math"/>
                                        <w:i/>
                                      </w:rPr>
                                    </m:ctrlPr>
                                  </m:dPr>
                                  <m:e>
                                    <m:r>
                                      <w:rPr>
                                        <w:rFonts w:ascii="Cambria Math" w:eastAsia="Cambria Math" w:hAnsi="Cambria Math"/>
                                        <w:kern w:val="0"/>
                                        <w:szCs w:val="20"/>
                                      </w:rPr>
                                      <m:t>n,h,c</m:t>
                                    </m:r>
                                  </m:e>
                                </m:d>
                              </m:sub>
                            </m:sSub>
                          </m:e>
                        </m:d>
                      </m:e>
                      <m:sup>
                        <m:r>
                          <w:rPr>
                            <w:rFonts w:ascii="Cambria Math" w:eastAsia="Cambria Math" w:hAnsi="Cambria Math"/>
                            <w:kern w:val="0"/>
                            <w:szCs w:val="20"/>
                          </w:rPr>
                          <m:t>2</m:t>
                        </m:r>
                      </m:sup>
                    </m:sSup>
                  </m:sup>
                </m:sSubSup>
              </m:sup>
            </m:sSubSup>
          </m:sup>
        </m:sSub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(14)</w:t>
      </w:r>
    </w:p>
    <w:p w14:paraId="6B94AC7B" w14:textId="77777777" w:rsidR="00B14FA3" w:rsidRPr="00B14FA3" w:rsidRDefault="00B14FA3" w:rsidP="00B14FA3">
      <w:pPr>
        <w:spacing w:line="360" w:lineRule="auto"/>
      </w:pPr>
      <w:r>
        <w:rPr>
          <w:szCs w:val="21"/>
        </w:rPr>
        <w:t>模型采用Adam进行优化，并根据验证集MSE选择参数。DLinear、固定等权多尺度模型和本文方法的可训练参数量分别为4656、8208和8339，其中路由器相对固定等权多尺度模型只增加131个参数。因此，本文方法的参数增量主要来自轻量路由网络，整体模型规模变化较小。</w:t>
      </w:r>
      <w:r>
        <w:rPr>
          <w:szCs w:val="21"/>
        </w:rPr>
      </w:r>
      <w:r>
        <w:rPr>
          <w:szCs w:val="21"/>
        </w:rPr>
      </w:r>
      <w:r>
        <w:rPr>
          <w:szCs w:val="21"/>
        </w:rPr>
      </w:r>
      <w:r>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p>
    <w:p w14:paraId="41A9DD19" w14:textId="77777777" w:rsidR="00B14FA3" w:rsidRPr="00B14FA3" w:rsidRDefault="00B14FA3" w:rsidP="00B14FA3">
      <w:pPr>
        <w:keepNext/>
        <w:keepLines/>
        <w:spacing w:before="80" w:after="20"/>
        <w:ind w:firstLine="0"/>
        <w:jc w:val="left"/>
        <w:outlineLvl w:val="1"/>
        <w:rPr>
          <w:rFonts w:eastAsia="黑体"/>
          <w:b/>
          <w:bCs/>
          <w:szCs w:val="32"/>
        </w:rPr>
      </w:pPr>
      <w:r w:rsidRPr="00B14FA3">
        <w:rPr>
          <w:rFonts w:ascii="Arial" w:eastAsia="黑体" w:hAnsi="Arial"/>
          <w:b/>
          <w:bCs/>
          <w:color w:val="000000"/>
          <w:sz w:val="24"/>
          <w:szCs w:val="32"/>
        </w:rPr>
        <w:t xml:space="preserve">2 </w:t>
      </w:r>
      <w:r w:rsidRPr="00B14FA3">
        <w:rPr>
          <w:rFonts w:ascii="Arial" w:eastAsia="黑体" w:hAnsi="Arial"/>
          <w:b/>
          <w:bCs/>
          <w:color w:val="000000"/>
          <w:sz w:val="24"/>
          <w:szCs w:val="32"/>
        </w:rPr>
        <w:t>实验与结果分析</w:t>
      </w:r>
    </w:p>
    <w:p w14:paraId="2C93F002"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2.1 </w:t>
      </w:r>
      <w:r>
        <w:rPr>
          <w:rFonts w:ascii="Arial" w:eastAsia="黑体" w:hAnsi="Arial"/>
          <w:b/>
          <w:bCs/>
          <w:color w:val="000000"/>
          <w:szCs w:val="21"/>
        </w:rPr>
        <w:t>数据集与实验设置</w:t>
      </w:r>
    </w:p>
    <w:p w14:paraId="426B5418" w14:textId="77777777" w:rsidR="00B14FA3" w:rsidRPr="00B14FA3" w:rsidRDefault="00B14FA3" w:rsidP="00B14FA3">
      <w:r>
        <w:rPr>
          <w:color w:val="000000"/>
          <w:szCs w:val="21"/>
        </w:rPr>
        <w:t>实验选用CESNET TS-Zoo[7]中的Abilene[8]和GÉANT[9] 1 h聚合流量矩阵。Abilene保留144维有效OD流量，时间序列相对较长；GÉANT去除恒定通道后保留524维，变量数更多。两个数据集在OD维度和流量分布上存在差异。实验均按时间顺序以6∶2∶2划分数据，输入长度L=96，预测长度H=24，预处理方式与第1.1节一致，具体设置见表1。</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A85EE9E" w14:textId="77777777" w:rsidR="00B14FA3" w:rsidRPr="00B14FA3" w:rsidRDefault="00B14FA3" w:rsidP="00B14FA3">
      <w:pPr>
        <w:keepNext/>
        <w:spacing w:before="60" w:after="40"/>
        <w:ind w:firstLine="0"/>
        <w:jc w:val="center"/>
      </w:pPr>
      <w:r>
        <w:rPr>
          <w:rFonts w:eastAsia="黑体"/>
          <w:b/>
          <w:color w:val="000000"/>
          <w:sz w:val="18"/>
        </w:rPr>
        <w:t>表</w:t>
      </w:r>
      <w:r>
        <w:rPr>
          <w:rFonts w:eastAsia="黑体"/>
          <w:b/>
          <w:color w:val="000000"/>
          <w:sz w:val="18"/>
        </w:rPr>
        <w:t xml:space="preserve">1 </w:t>
      </w:r>
      <w:r>
        <w:rPr>
          <w:rFonts w:eastAsia="黑体"/>
          <w:b/>
          <w:color w:val="000000"/>
          <w:sz w:val="18"/>
        </w:rPr>
        <w:t>数据集与预测任务设置</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200"/>
        <w:gridCol w:w="1100"/>
        <w:gridCol w:w="1100"/>
        <w:gridCol w:w="2300"/>
        <w:gridCol w:w="2300"/>
        <w:gridCol w:w="1000"/>
      </w:tblGrid>
      <w:tr w:rsidR="00B10182" w14:paraId="4EA6D132" w14:textId="77777777">
        <w:trPr>
          <w:cantSplit/>
          <w:tblHeader/>
          <w:jc w:val="center"/>
        </w:trPr>
        <w:tc>
          <w:tcPr>
            <w:tcW w:w="1200" w:type="dxa"/>
            <w:tcBorders>
              <w:bottom w:val="single" w:sz="8" w:space="0" w:color="000000"/>
            </w:tcBorders>
            <w:tcMar>
              <w:top w:w="55" w:type="dxa"/>
              <w:left w:w="70" w:type="dxa"/>
              <w:bottom w:w="55" w:type="dxa"/>
              <w:right w:w="70" w:type="dxa"/>
            </w:tcMar>
            <w:vAlign w:val="center"/>
            <w:hideMark/>
          </w:tcPr>
          <w:p w14:paraId="6F1FEB54" w14:textId="77777777" w:rsidR="00B14FA3" w:rsidRPr="00B14FA3" w:rsidRDefault="00B14FA3" w:rsidP="00B14FA3">
            <w:pPr>
              <w:keepNext/>
              <w:ind w:firstLine="0"/>
              <w:jc w:val="center"/>
            </w:pPr>
            <w:r>
              <w:rPr>
                <w:b/>
                <w:color w:val="000000"/>
                <w:szCs w:val="21"/>
              </w:rPr>
              <w:t>数据集</w:t>
            </w:r>
          </w:p>
        </w:tc>
        <w:tc>
          <w:tcPr>
            <w:tcW w:w="1100" w:type="dxa"/>
            <w:tcBorders>
              <w:bottom w:val="single" w:sz="8" w:space="0" w:color="000000"/>
            </w:tcBorders>
            <w:tcMar>
              <w:top w:w="55" w:type="dxa"/>
              <w:left w:w="70" w:type="dxa"/>
              <w:bottom w:w="55" w:type="dxa"/>
              <w:right w:w="70" w:type="dxa"/>
            </w:tcMar>
            <w:vAlign w:val="center"/>
            <w:hideMark/>
          </w:tcPr>
          <w:p w14:paraId="3693DDBE" w14:textId="77777777" w:rsidR="00B14FA3" w:rsidRPr="00B14FA3" w:rsidRDefault="00B14FA3" w:rsidP="00B14FA3">
            <w:pPr>
              <w:keepNext/>
              <w:ind w:firstLine="0"/>
              <w:jc w:val="center"/>
            </w:pPr>
            <w:r>
              <w:rPr>
                <w:b/>
                <w:color w:val="000000"/>
                <w:szCs w:val="21"/>
              </w:rPr>
              <w:t>时间点</w:t>
            </w:r>
          </w:p>
        </w:tc>
        <w:tc>
          <w:tcPr>
            <w:tcW w:w="1100" w:type="dxa"/>
            <w:tcBorders>
              <w:bottom w:val="single" w:sz="8" w:space="0" w:color="000000"/>
            </w:tcBorders>
            <w:tcMar>
              <w:top w:w="55" w:type="dxa"/>
              <w:left w:w="70" w:type="dxa"/>
              <w:bottom w:w="55" w:type="dxa"/>
              <w:right w:w="70" w:type="dxa"/>
            </w:tcMar>
            <w:vAlign w:val="center"/>
            <w:hideMark/>
          </w:tcPr>
          <w:p w14:paraId="61AE8EF9" w14:textId="77777777" w:rsidR="00B14FA3" w:rsidRPr="00B14FA3" w:rsidRDefault="00B14FA3" w:rsidP="00B14FA3">
            <w:pPr>
              <w:keepNext/>
              <w:ind w:firstLine="0"/>
              <w:jc w:val="center"/>
            </w:pPr>
            <w:r>
              <w:rPr>
                <w:b/>
                <w:color w:val="000000"/>
                <w:szCs w:val="21"/>
              </w:rPr>
              <w:t>有效变量</w:t>
            </w:r>
            <w:r>
              <w:rPr>
                <w:b/>
                <w:color w:val="000000"/>
                <w:szCs w:val="21"/>
              </w:rPr>
              <w:t>C</w:t>
            </w:r>
          </w:p>
        </w:tc>
        <w:tc>
          <w:tcPr>
            <w:tcW w:w="2300" w:type="dxa"/>
            <w:tcBorders>
              <w:bottom w:val="single" w:sz="8" w:space="0" w:color="000000"/>
            </w:tcBorders>
            <w:tcMar>
              <w:top w:w="55" w:type="dxa"/>
              <w:left w:w="70" w:type="dxa"/>
              <w:bottom w:w="55" w:type="dxa"/>
              <w:right w:w="70" w:type="dxa"/>
            </w:tcMar>
            <w:vAlign w:val="center"/>
            <w:hideMark/>
          </w:tcPr>
          <w:p w14:paraId="00AFD535" w14:textId="77777777" w:rsidR="00B14FA3" w:rsidRPr="00B14FA3" w:rsidRDefault="00B14FA3" w:rsidP="00B14FA3">
            <w:pPr>
              <w:keepNext/>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测试时间点</w:t>
            </w:r>
          </w:p>
        </w:tc>
        <w:tc>
          <w:tcPr>
            <w:tcW w:w="2300" w:type="dxa"/>
            <w:tcBorders>
              <w:bottom w:val="single" w:sz="8" w:space="0" w:color="000000"/>
            </w:tcBorders>
            <w:tcMar>
              <w:top w:w="55" w:type="dxa"/>
              <w:left w:w="70" w:type="dxa"/>
              <w:bottom w:w="55" w:type="dxa"/>
              <w:right w:w="70" w:type="dxa"/>
            </w:tcMar>
            <w:vAlign w:val="center"/>
            <w:hideMark/>
          </w:tcPr>
          <w:p w14:paraId="7492F132" w14:textId="77777777" w:rsidR="00B14FA3" w:rsidRPr="00B14FA3" w:rsidRDefault="00B14FA3" w:rsidP="00B14FA3">
            <w:pPr>
              <w:keepNext/>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测试窗口</w:t>
            </w:r>
          </w:p>
        </w:tc>
        <w:tc>
          <w:tcPr>
            <w:tcW w:w="1000" w:type="dxa"/>
            <w:tcBorders>
              <w:bottom w:val="single" w:sz="8" w:space="0" w:color="000000"/>
            </w:tcBorders>
            <w:tcMar>
              <w:top w:w="55" w:type="dxa"/>
              <w:left w:w="70" w:type="dxa"/>
              <w:bottom w:w="55" w:type="dxa"/>
              <w:right w:w="70" w:type="dxa"/>
            </w:tcMar>
            <w:vAlign w:val="center"/>
            <w:hideMark/>
          </w:tcPr>
          <w:p w14:paraId="443C0C0B" w14:textId="77777777" w:rsidR="00B14FA3" w:rsidRPr="00B14FA3" w:rsidRDefault="00B14FA3" w:rsidP="00B14FA3">
            <w:pPr>
              <w:keepNext/>
              <w:ind w:firstLine="0"/>
              <w:jc w:val="center"/>
            </w:pPr>
            <w:r>
              <w:rPr>
                <w:b/>
                <w:color w:val="000000"/>
                <w:szCs w:val="21"/>
              </w:rPr>
              <w:t>L/H</w:t>
            </w:r>
          </w:p>
        </w:tc>
      </w:tr>
      <w:tr w:rsidR="00B10182" w14:paraId="60662C3F" w14:textId="77777777">
        <w:trPr>
          <w:cantSplit/>
          <w:jc w:val="center"/>
        </w:trPr>
        <w:tc>
          <w:tcPr>
            <w:tcW w:w="1200" w:type="dxa"/>
            <w:tcBorders>
              <w:top w:val="nil"/>
              <w:left w:val="nil"/>
              <w:bottom w:val="nil"/>
              <w:right w:val="nil"/>
            </w:tcBorders>
            <w:tcMar>
              <w:top w:w="55" w:type="dxa"/>
              <w:left w:w="70" w:type="dxa"/>
              <w:bottom w:w="55" w:type="dxa"/>
              <w:right w:w="70" w:type="dxa"/>
            </w:tcMar>
            <w:vAlign w:val="center"/>
            <w:hideMark/>
          </w:tcPr>
          <w:p w14:paraId="70B444C7" w14:textId="77777777" w:rsidR="00B14FA3" w:rsidRPr="00B14FA3" w:rsidRDefault="00B14FA3" w:rsidP="00B14FA3">
            <w:pPr>
              <w:keepNext/>
              <w:ind w:firstLine="0"/>
              <w:jc w:val="left"/>
            </w:pPr>
            <w:r>
              <w:rPr>
                <w:color w:val="000000"/>
                <w:szCs w:val="21"/>
              </w:rPr>
              <w:t>Abilene</w:t>
            </w:r>
          </w:p>
        </w:tc>
        <w:tc>
          <w:tcPr>
            <w:tcW w:w="1100" w:type="dxa"/>
            <w:tcBorders>
              <w:top w:val="nil"/>
              <w:left w:val="nil"/>
              <w:bottom w:val="nil"/>
              <w:right w:val="nil"/>
            </w:tcBorders>
            <w:tcMar>
              <w:top w:w="55" w:type="dxa"/>
              <w:left w:w="70" w:type="dxa"/>
              <w:bottom w:w="55" w:type="dxa"/>
              <w:right w:w="70" w:type="dxa"/>
            </w:tcMar>
            <w:vAlign w:val="center"/>
            <w:hideMark/>
          </w:tcPr>
          <w:p w14:paraId="4EBF696C" w14:textId="77777777" w:rsidR="00B14FA3" w:rsidRPr="00B14FA3" w:rsidRDefault="00B14FA3" w:rsidP="00B14FA3">
            <w:pPr>
              <w:keepNext/>
              <w:ind w:firstLine="0"/>
              <w:jc w:val="left"/>
            </w:pPr>
            <w:r>
              <w:rPr>
                <w:color w:val="000000"/>
                <w:szCs w:val="21"/>
              </w:rPr>
              <w:t>4656</w:t>
            </w:r>
          </w:p>
        </w:tc>
        <w:tc>
          <w:tcPr>
            <w:tcW w:w="1100" w:type="dxa"/>
            <w:tcBorders>
              <w:top w:val="nil"/>
              <w:left w:val="nil"/>
              <w:bottom w:val="nil"/>
              <w:right w:val="nil"/>
            </w:tcBorders>
            <w:tcMar>
              <w:top w:w="55" w:type="dxa"/>
              <w:left w:w="70" w:type="dxa"/>
              <w:bottom w:w="55" w:type="dxa"/>
              <w:right w:w="70" w:type="dxa"/>
            </w:tcMar>
            <w:vAlign w:val="center"/>
            <w:hideMark/>
          </w:tcPr>
          <w:p w14:paraId="203C3A10" w14:textId="77777777" w:rsidR="00B14FA3" w:rsidRPr="00B14FA3" w:rsidRDefault="00B14FA3" w:rsidP="00B14FA3">
            <w:pPr>
              <w:keepNext/>
              <w:ind w:firstLine="0"/>
              <w:jc w:val="left"/>
            </w:pPr>
            <w:r>
              <w:rPr>
                <w:color w:val="000000"/>
                <w:szCs w:val="21"/>
              </w:rPr>
              <w:t>144</w:t>
            </w:r>
          </w:p>
        </w:tc>
        <w:tc>
          <w:tcPr>
            <w:tcW w:w="2300" w:type="dxa"/>
            <w:tcBorders>
              <w:top w:val="nil"/>
              <w:left w:val="nil"/>
              <w:bottom w:val="nil"/>
              <w:right w:val="nil"/>
            </w:tcBorders>
            <w:tcMar>
              <w:top w:w="55" w:type="dxa"/>
              <w:left w:w="70" w:type="dxa"/>
              <w:bottom w:w="55" w:type="dxa"/>
              <w:right w:w="70" w:type="dxa"/>
            </w:tcMar>
            <w:vAlign w:val="center"/>
            <w:hideMark/>
          </w:tcPr>
          <w:p w14:paraId="418C4BE2" w14:textId="77777777" w:rsidR="00B14FA3" w:rsidRPr="00B14FA3" w:rsidRDefault="00B14FA3" w:rsidP="00B14FA3">
            <w:pPr>
              <w:keepNext/>
              <w:ind w:firstLine="0"/>
              <w:jc w:val="left"/>
            </w:pPr>
            <w:r>
              <w:rPr>
                <w:color w:val="000000"/>
                <w:szCs w:val="21"/>
              </w:rPr>
              <w:t>2793/931/932</w:t>
            </w:r>
          </w:p>
        </w:tc>
        <w:tc>
          <w:tcPr>
            <w:tcW w:w="2300" w:type="dxa"/>
            <w:tcBorders>
              <w:top w:val="nil"/>
              <w:left w:val="nil"/>
              <w:bottom w:val="nil"/>
              <w:right w:val="nil"/>
            </w:tcBorders>
            <w:tcMar>
              <w:top w:w="55" w:type="dxa"/>
              <w:left w:w="70" w:type="dxa"/>
              <w:bottom w:w="55" w:type="dxa"/>
              <w:right w:w="70" w:type="dxa"/>
            </w:tcMar>
            <w:vAlign w:val="center"/>
            <w:hideMark/>
          </w:tcPr>
          <w:p w14:paraId="3E47EF4C" w14:textId="77777777" w:rsidR="00B14FA3" w:rsidRPr="00B14FA3" w:rsidRDefault="00B14FA3" w:rsidP="00B14FA3">
            <w:pPr>
              <w:keepNext/>
              <w:ind w:firstLine="0"/>
              <w:jc w:val="left"/>
            </w:pPr>
            <w:r>
              <w:rPr>
                <w:color w:val="000000"/>
                <w:szCs w:val="21"/>
              </w:rPr>
              <w:t>2674/812/813</w:t>
            </w:r>
          </w:p>
        </w:tc>
        <w:tc>
          <w:tcPr>
            <w:tcW w:w="1000" w:type="dxa"/>
            <w:tcBorders>
              <w:top w:val="nil"/>
              <w:left w:val="nil"/>
              <w:bottom w:val="nil"/>
              <w:right w:val="nil"/>
            </w:tcBorders>
            <w:tcMar>
              <w:top w:w="55" w:type="dxa"/>
              <w:left w:w="70" w:type="dxa"/>
              <w:bottom w:w="55" w:type="dxa"/>
              <w:right w:w="70" w:type="dxa"/>
            </w:tcMar>
            <w:vAlign w:val="center"/>
            <w:hideMark/>
          </w:tcPr>
          <w:p w14:paraId="68B41A69" w14:textId="77777777" w:rsidR="00B14FA3" w:rsidRPr="00B14FA3" w:rsidRDefault="00B14FA3" w:rsidP="00B14FA3">
            <w:pPr>
              <w:keepNext/>
              <w:ind w:firstLine="0"/>
              <w:jc w:val="left"/>
            </w:pPr>
            <w:r>
              <w:rPr>
                <w:color w:val="000000"/>
                <w:szCs w:val="21"/>
              </w:rPr>
              <w:t>96/24</w:t>
            </w:r>
          </w:p>
        </w:tc>
      </w:tr>
      <w:tr w:rsidR="00B10182" w14:paraId="026887DD" w14:textId="77777777">
        <w:trPr>
          <w:cantSplit/>
          <w:jc w:val="center"/>
        </w:trPr>
        <w:tc>
          <w:tcPr>
            <w:tcW w:w="1200" w:type="dxa"/>
            <w:tcBorders>
              <w:top w:val="nil"/>
              <w:left w:val="nil"/>
              <w:bottom w:val="nil"/>
              <w:right w:val="nil"/>
            </w:tcBorders>
            <w:tcMar>
              <w:top w:w="55" w:type="dxa"/>
              <w:left w:w="70" w:type="dxa"/>
              <w:bottom w:w="55" w:type="dxa"/>
              <w:right w:w="70" w:type="dxa"/>
            </w:tcMar>
            <w:vAlign w:val="center"/>
            <w:hideMark/>
          </w:tcPr>
          <w:p w14:paraId="4ABC61A0" w14:textId="77777777" w:rsidR="00B14FA3" w:rsidRPr="00B14FA3" w:rsidRDefault="00B14FA3" w:rsidP="00B14FA3">
            <w:pPr>
              <w:keepNext/>
              <w:ind w:firstLine="0"/>
              <w:jc w:val="left"/>
            </w:pPr>
            <w:r>
              <w:rPr>
                <w:color w:val="000000"/>
                <w:szCs w:val="21"/>
              </w:rPr>
              <w:t>GÉANT</w:t>
            </w:r>
          </w:p>
        </w:tc>
        <w:tc>
          <w:tcPr>
            <w:tcW w:w="1100" w:type="dxa"/>
            <w:tcBorders>
              <w:top w:val="nil"/>
              <w:left w:val="nil"/>
              <w:bottom w:val="nil"/>
              <w:right w:val="nil"/>
            </w:tcBorders>
            <w:tcMar>
              <w:top w:w="55" w:type="dxa"/>
              <w:left w:w="70" w:type="dxa"/>
              <w:bottom w:w="55" w:type="dxa"/>
              <w:right w:w="70" w:type="dxa"/>
            </w:tcMar>
            <w:vAlign w:val="center"/>
            <w:hideMark/>
          </w:tcPr>
          <w:p w14:paraId="37FA10D1" w14:textId="77777777" w:rsidR="00B14FA3" w:rsidRPr="00B14FA3" w:rsidRDefault="00B14FA3" w:rsidP="00B14FA3">
            <w:pPr>
              <w:keepNext/>
              <w:ind w:firstLine="0"/>
              <w:jc w:val="left"/>
            </w:pPr>
            <w:r>
              <w:rPr>
                <w:color w:val="000000"/>
                <w:szCs w:val="21"/>
              </w:rPr>
              <w:t>2849</w:t>
            </w:r>
          </w:p>
        </w:tc>
        <w:tc>
          <w:tcPr>
            <w:tcW w:w="1100" w:type="dxa"/>
            <w:tcBorders>
              <w:top w:val="nil"/>
              <w:left w:val="nil"/>
              <w:bottom w:val="nil"/>
              <w:right w:val="nil"/>
            </w:tcBorders>
            <w:tcMar>
              <w:top w:w="55" w:type="dxa"/>
              <w:left w:w="70" w:type="dxa"/>
              <w:bottom w:w="55" w:type="dxa"/>
              <w:right w:w="70" w:type="dxa"/>
            </w:tcMar>
            <w:vAlign w:val="center"/>
            <w:hideMark/>
          </w:tcPr>
          <w:p w14:paraId="0F63E5AA" w14:textId="77777777" w:rsidR="00B14FA3" w:rsidRPr="00B14FA3" w:rsidRDefault="00B14FA3" w:rsidP="00B14FA3">
            <w:pPr>
              <w:keepNext/>
              <w:ind w:firstLine="0"/>
              <w:jc w:val="left"/>
            </w:pPr>
            <w:r>
              <w:rPr>
                <w:color w:val="000000"/>
                <w:szCs w:val="21"/>
              </w:rPr>
              <w:t>524</w:t>
            </w:r>
          </w:p>
        </w:tc>
        <w:tc>
          <w:tcPr>
            <w:tcW w:w="2300" w:type="dxa"/>
            <w:tcBorders>
              <w:top w:val="nil"/>
              <w:left w:val="nil"/>
              <w:bottom w:val="nil"/>
              <w:right w:val="nil"/>
            </w:tcBorders>
            <w:tcMar>
              <w:top w:w="55" w:type="dxa"/>
              <w:left w:w="70" w:type="dxa"/>
              <w:bottom w:w="55" w:type="dxa"/>
              <w:right w:w="70" w:type="dxa"/>
            </w:tcMar>
            <w:vAlign w:val="center"/>
            <w:hideMark/>
          </w:tcPr>
          <w:p w14:paraId="066E6608" w14:textId="77777777" w:rsidR="00B14FA3" w:rsidRPr="00B14FA3" w:rsidRDefault="00B14FA3" w:rsidP="00B14FA3">
            <w:pPr>
              <w:keepNext/>
              <w:ind w:firstLine="0"/>
              <w:jc w:val="left"/>
            </w:pPr>
            <w:r>
              <w:rPr>
                <w:color w:val="000000"/>
                <w:szCs w:val="21"/>
              </w:rPr>
              <w:t>1709/570/570</w:t>
            </w:r>
          </w:p>
        </w:tc>
        <w:tc>
          <w:tcPr>
            <w:tcW w:w="2300" w:type="dxa"/>
            <w:tcBorders>
              <w:top w:val="nil"/>
              <w:left w:val="nil"/>
              <w:bottom w:val="nil"/>
              <w:right w:val="nil"/>
            </w:tcBorders>
            <w:tcMar>
              <w:top w:w="55" w:type="dxa"/>
              <w:left w:w="70" w:type="dxa"/>
              <w:bottom w:w="55" w:type="dxa"/>
              <w:right w:w="70" w:type="dxa"/>
            </w:tcMar>
            <w:vAlign w:val="center"/>
            <w:hideMark/>
          </w:tcPr>
          <w:p w14:paraId="544CE805" w14:textId="77777777" w:rsidR="00B14FA3" w:rsidRPr="00B14FA3" w:rsidRDefault="00B14FA3" w:rsidP="00B14FA3">
            <w:pPr>
              <w:keepNext/>
              <w:ind w:firstLine="0"/>
              <w:jc w:val="left"/>
            </w:pPr>
            <w:r>
              <w:rPr>
                <w:color w:val="000000"/>
                <w:szCs w:val="21"/>
              </w:rPr>
              <w:t>1590/451/451</w:t>
            </w:r>
          </w:p>
        </w:tc>
        <w:tc>
          <w:tcPr>
            <w:tcW w:w="1000" w:type="dxa"/>
            <w:tcBorders>
              <w:top w:val="nil"/>
              <w:left w:val="nil"/>
              <w:bottom w:val="nil"/>
              <w:right w:val="nil"/>
            </w:tcBorders>
            <w:tcMar>
              <w:top w:w="55" w:type="dxa"/>
              <w:left w:w="70" w:type="dxa"/>
              <w:bottom w:w="55" w:type="dxa"/>
              <w:right w:w="70" w:type="dxa"/>
            </w:tcMar>
            <w:vAlign w:val="center"/>
            <w:hideMark/>
          </w:tcPr>
          <w:p w14:paraId="256DDA9D" w14:textId="77777777" w:rsidR="00B14FA3" w:rsidRPr="00B14FA3" w:rsidRDefault="00B14FA3" w:rsidP="00B14FA3">
            <w:pPr>
              <w:keepNext/>
              <w:ind w:firstLine="0"/>
              <w:jc w:val="left"/>
            </w:pPr>
            <w:r>
              <w:rPr>
                <w:color w:val="000000"/>
                <w:szCs w:val="21"/>
              </w:rPr>
              <w:t>96/24</w:t>
            </w:r>
          </w:p>
        </w:tc>
      </w:tr>
    </w:tbl>
    <w:p w14:paraId="7F30E00E" w14:textId="77777777" w:rsidR="00B14FA3" w:rsidRPr="00B14FA3" w:rsidRDefault="00B14FA3" w:rsidP="00B14FA3">
      <w:r>
        <w:rPr>
          <w:color w:val="000000"/>
          <w:szCs w:val="21"/>
        </w:rPr>
        <w:t>各模型使用相同的数据划分、输入长度和评价指标，批量大小均为16，并根据验证集MSE选择最优模型。DLinear、固定等权多尺度模型和本文方法最多训练30轮，LightTS最多训练50轮。外部基线比较采用随机种子42—44；DLinear、固定等权多尺度模型和本文方法另外使用42—49共8个随机种子重复实验。</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111070D4"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2.2 </w:t>
      </w:r>
      <w:r>
        <w:rPr>
          <w:rFonts w:ascii="Arial" w:eastAsia="黑体" w:hAnsi="Arial"/>
          <w:b/>
          <w:bCs/>
          <w:color w:val="000000"/>
          <w:szCs w:val="21"/>
        </w:rPr>
        <w:t>对比模型与评价指标</w:t>
      </w:r>
    </w:p>
    <w:p w14:paraId="3EC5233F" w14:textId="77777777" w:rsidR="00B14FA3" w:rsidRPr="00B14FA3" w:rsidRDefault="00B14FA3" w:rsidP="00B14FA3">
      <w:r>
        <w:rPr>
          <w:color w:val="000000"/>
          <w:szCs w:val="21"/>
        </w:rPr>
        <w:t>对比模型包括DLinear、LightTS和固定等权多尺度模型。DLinear作为单尺度基线，LightTS作为轻量多变量时间序列预测模型。固定等权多尺度模型与本文方法使用完全相同的尺度集合{1,2,4}和DLinear专家，区别只在于其3个尺度权重始终为1/3，因此可用于观察自适应加权本身带来的变化。</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BE60480" w14:textId="77777777" w:rsidR="00B14FA3" w:rsidRPr="00B14FA3" w:rsidRDefault="00B14FA3" w:rsidP="00B14FA3">
      <w:r>
        <w:rPr>
          <w:color w:val="000000"/>
          <w:szCs w:val="21"/>
        </w:rPr>
        <w:t>采用均方误差（MSE）、平均绝对误差（MAE）和均方根误差（RMSE）评价预测性能。MSE按式（14）计算，MAE和RMSE分别为</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32476975"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color w:val="000000"/>
          <w:kern w:val="0"/>
          <w:szCs w:val="20"/>
        </w:rPr>
        <w:tab/>
      </w:r>
      <m:oMath>
        <m:r>
          <m:rPr>
            <m:sty m:val="p"/>
          </m:rPr>
          <w:rPr>
            <w:rFonts w:ascii="Cambria Math" w:eastAsia="Cambria Math" w:hAnsi="Cambria Math"/>
            <w:kern w:val="0"/>
            <w:szCs w:val="20"/>
          </w:rPr>
          <m:t>MAE=</m:t>
        </m:r>
        <m:d>
          <m:dPr>
            <m:ctrlPr>
              <w:rPr>
                <w:rFonts w:ascii="Cambria Math" w:eastAsia="Cambria Math" w:hAnsi="Cambria Math"/>
                <w:i/>
                <w:kern w:val="0"/>
                <w:szCs w:val="20"/>
              </w:rPr>
            </m:ctrlPr>
          </m:dPr>
          <m:e>
            <m:f>
              <m:fPr>
                <m:ctrlPr>
                  <w:rPr>
                    <w:rFonts w:ascii="Cambria Math" w:eastAsia="Cambria Math" w:hAnsi="Cambria Math"/>
                    <w:i/>
                    <w:kern w:val="0"/>
                    <w:szCs w:val="20"/>
                  </w:rPr>
                </m:ctrlPr>
              </m:fPr>
              <m:num>
                <m:r>
                  <w:rPr>
                    <w:rFonts w:ascii="Cambria Math" w:eastAsia="Cambria Math" w:hAnsi="Cambria Math"/>
                    <w:kern w:val="0"/>
                    <w:szCs w:val="20"/>
                  </w:rPr>
                  <m:t>1</m:t>
                </m:r>
              </m:num>
              <m:den>
                <m:sSub>
                  <m:sSubPr>
                    <m:ctrlPr>
                      <w:rPr>
                        <w:rFonts w:ascii="Cambria Math" w:eastAsia="Cambria Math" w:hAnsi="Cambria Math"/>
                        <w:i/>
                        <w:kern w:val="0"/>
                        <w:szCs w:val="20"/>
                      </w:rPr>
                    </m:ctrlPr>
                  </m:sSubPr>
                  <m:e>
                    <m:r>
                      <w:rPr>
                        <w:rFonts w:ascii="Cambria Math" w:eastAsia="Cambria Math" w:hAnsi="Cambria Math"/>
                        <w:kern w:val="0"/>
                        <w:szCs w:val="20"/>
                      </w:rPr>
                      <m:t>N</m:t>
                    </m:r>
                  </m:e>
                  <m:sub>
                    <m:d>
                      <m:dPr>
                        <m:begChr m:val="{"/>
                        <m:endChr m:val="}"/>
                        <m:ctrlPr>
                          <w:rPr>
                            <w:rFonts w:ascii="Cambria Math" w:eastAsia="Cambria Math" w:hAnsi="Cambria Math"/>
                            <w:i/>
                            <w:kern w:val="0"/>
                            <w:szCs w:val="20"/>
                          </w:rPr>
                        </m:ctrlPr>
                      </m:dPr>
                      <m:e>
                        <m:r>
                          <m:rPr>
                            <m:sty m:val="p"/>
                          </m:rPr>
                          <w:rPr>
                            <w:rFonts w:ascii="Cambria Math" w:eastAsia="Cambria Math" w:hAnsi="Cambria Math"/>
                            <w:kern w:val="0"/>
                            <w:szCs w:val="20"/>
                          </w:rPr>
                          <m:t>te</m:t>
                        </m:r>
                      </m:e>
                    </m:d>
                    <m:r>
                      <w:rPr>
                        <w:rFonts w:ascii="Cambria Math" w:eastAsia="Cambria Math" w:hAnsi="Cambria Math"/>
                        <w:kern w:val="0"/>
                        <w:szCs w:val="20"/>
                      </w:rPr>
                      <m:t>HC</m:t>
                    </m:r>
                  </m:sub>
                </m:sSub>
              </m:den>
            </m:f>
          </m:e>
        </m:d>
        <m:sSub>
          <m:sSubPr>
            <m:ctrlPr>
              <w:rPr>
                <w:rFonts w:ascii="Cambria Math" w:eastAsia="Cambria Math" w:hAnsi="Cambria Math"/>
                <w:i/>
                <w:kern w:val="0"/>
                <w:szCs w:val="20"/>
              </w:rPr>
            </m:ctrlPr>
          </m:sSubPr>
          <m:e>
            <m:r>
              <w:rPr>
                <w:rFonts w:ascii="Cambria Math" w:eastAsia="Cambria Math" w:hAnsi="Cambria Math"/>
                <w:kern w:val="0"/>
                <w:szCs w:val="20"/>
              </w:rPr>
              <m:t>Σ</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n,h,c</m:t>
                </m:r>
              </m:e>
            </m:d>
            <m:d>
              <m:dPr>
                <m:begChr m:val="|"/>
                <m:endChr m:val="|"/>
                <m:ctrlPr>
                  <w:rPr>
                    <w:rFonts w:ascii="Cambria Math" w:eastAsia="Cambria Math" w:hAnsi="Cambria Math"/>
                    <w:i/>
                    <w:kern w:val="0"/>
                    <w:szCs w:val="20"/>
                  </w:rPr>
                </m:ctrlPr>
              </m:dPr>
              <m:e>
                <m:sSub>
                  <m:sSubPr>
                    <m:ctrlPr>
                      <w:rPr>
                        <w:rFonts w:ascii="Cambria Math" w:eastAsia="Cambria Math" w:hAnsi="Cambria Math"/>
                        <w:i/>
                        <w:kern w:val="0"/>
                        <w:szCs w:val="20"/>
                      </w:rPr>
                    </m:ctrlPr>
                  </m:sSubPr>
                  <m:e>
                    <m:r>
                      <m:rPr>
                        <m:sty m:val="bi"/>
                      </m:rPr>
                      <w:rPr>
                        <w:rFonts w:ascii="Cambria Math" w:eastAsia="Cambria Math" w:hAnsi="Cambria Math"/>
                        <w:kern w:val="0"/>
                        <w:szCs w:val="20"/>
                      </w:rPr>
                      <m:t>Y</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n,h,c</m:t>
                        </m:r>
                      </m:e>
                    </m:d>
                  </m:sub>
                </m:sSub>
                <m:r>
                  <w:rPr>
                    <w:rFonts w:ascii="Cambria Math" w:eastAsia="Cambria Math" w:hAnsi="Cambria Math"/>
                    <w:kern w:val="0"/>
                    <w:szCs w:val="20"/>
                  </w:rPr>
                  <m:t>-</m:t>
                </m:r>
                <m:sSub>
                  <m:sSubPr>
                    <m:ctrlPr>
                      <w:rPr>
                        <w:rFonts w:ascii="Cambria Math" w:eastAsia="Cambria Math" w:hAnsi="Cambria Math"/>
                        <w:i/>
                        <w:kern w:val="0"/>
                        <w:szCs w:val="20"/>
                      </w:rPr>
                    </m:ctrlPr>
                  </m:sSubPr>
                  <m:e>
                    <m:r>
                      <m:rPr>
                        <m:sty m:val="bi"/>
                      </m:rPr>
                      <w:rPr>
                        <w:rFonts w:ascii="Cambria Math" w:eastAsia="Cambria Math" w:hAnsi="Cambria Math"/>
                        <w:kern w:val="0"/>
                        <w:szCs w:val="20"/>
                      </w:rPr>
                      <m:t>Ŷ</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n,h,c</m:t>
                        </m:r>
                      </m:e>
                    </m:d>
                  </m:sub>
                </m:sSub>
              </m:e>
            </m:d>
          </m:sub>
        </m:sSub>
        <m:r>
          <w:rPr>
            <w:rFonts w:ascii="Cambria Math" w:eastAsia="Cambria Math" w:hAnsi="Cambria Math"/>
            <w:kern w:val="0"/>
            <w:szCs w:val="20"/>
          </w:rPr>
          <m:t>,</m:t>
        </m:r>
      </m:oMath>
      <w:r w:rsidRPr="00B14FA3">
        <w:rPr>
          <w:color w:val="000000"/>
          <w:kern w:val="0"/>
          <w:szCs w:val="20"/>
        </w:rPr>
        <w:tab/>
        <w:t>(15)</w:t>
      </w:r>
    </w:p>
    <w:p w14:paraId="78A587DD"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color w:val="000000"/>
          <w:kern w:val="0"/>
          <w:szCs w:val="20"/>
        </w:rPr>
        <w:tab/>
      </w:r>
      <m:oMath>
        <m:r>
          <m:rPr>
            <m:sty m:val="p"/>
          </m:rPr>
          <w:rPr>
            <w:rFonts w:ascii="Cambria Math" w:eastAsia="Cambria Math" w:hAnsi="Cambria Math"/>
            <w:kern w:val="0"/>
            <w:szCs w:val="20"/>
          </w:rPr>
          <m:t>RMSE=</m:t>
        </m:r>
        <m:rad>
          <m:radPr>
            <m:degHide m:val="1"/>
            <m:ctrlPr>
              <w:rPr>
                <w:rFonts w:ascii="Cambria Math" w:eastAsia="Cambria Math" w:hAnsi="Cambria Math"/>
                <w:i/>
                <w:kern w:val="0"/>
                <w:szCs w:val="20"/>
              </w:rPr>
            </m:ctrlPr>
          </m:radPr>
          <m:deg/>
          <m:e>
            <m:r>
              <m:rPr>
                <m:sty m:val="p"/>
              </m:rPr>
              <w:rPr>
                <w:rFonts w:ascii="Cambria Math" w:eastAsia="Cambria Math" w:hAnsi="Cambria Math"/>
                <w:kern w:val="0"/>
                <w:szCs w:val="20"/>
              </w:rPr>
              <m:t>MSE</m:t>
            </m:r>
          </m:e>
        </m:rad>
        <m:r>
          <w:rPr>
            <w:rFonts w:ascii="Cambria Math" w:eastAsia="Cambria Math" w:hAnsi="Cambria Math"/>
            <w:kern w:val="0"/>
            <w:szCs w:val="20"/>
          </w:rPr>
          <m:t>.</m:t>
        </m:r>
      </m:oMath>
      <w:r w:rsidRPr="00B14FA3">
        <w:rPr>
          <w:color w:val="000000"/>
          <w:kern w:val="0"/>
          <w:szCs w:val="20"/>
        </w:rPr>
        <w:tab/>
        <w:t>(16)</w:t>
      </w:r>
    </w:p>
    <w:p w14:paraId="015A2BBD" w14:textId="77777777" w:rsidR="00B14FA3" w:rsidRPr="00B14FA3" w:rsidRDefault="00B14FA3" w:rsidP="00B14FA3">
      <w:r>
        <w:rPr>
          <w:color w:val="000000"/>
          <w:szCs w:val="21"/>
        </w:rPr>
        <w:t>MSE、MAE和RMSE均在标准化空间中计算，数值越小表示预测误差越低。MSE对较大的预测偏差更敏感，MAE反映平均绝对误差，RMSE则给出均方误差开方后的结果。正文主要使用MSE和MAE比较模型，表2报告3个共同随机种子的均值±标准差，表3报告8个随机种子的均值±标准差。</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7B4CAE46"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2.3 </w:t>
      </w:r>
      <w:r>
        <w:rPr>
          <w:rFonts w:ascii="Arial" w:eastAsia="黑体" w:hAnsi="Arial"/>
          <w:b/>
          <w:bCs/>
          <w:color w:val="000000"/>
          <w:szCs w:val="21"/>
        </w:rPr>
        <w:t>两数据集外部基线比较</w:t>
      </w:r>
    </w:p>
    <w:p w14:paraId="47C6B19C" w14:textId="77777777" w:rsidR="00B14FA3" w:rsidRPr="00B14FA3" w:rsidRDefault="00B14FA3" w:rsidP="00B14FA3">
      <w:r>
        <w:rPr>
          <w:color w:val="000000"/>
          <w:szCs w:val="21"/>
        </w:rPr>
        <w:t>表2列出了随机种子42—44下的预测结果。本文方法在Abilene和GÉANT上的MSE分别为0.186和0.434。与DLinear相比，MSE分别降低4.06%和4.43%；与LightTS相比，分别降低29.89%和46.83%。两个数据集上的MAE也低于对应基线。由此可以看出，在相同输入长度和预测长度下，多尺度输入与样本级权重结合后，整体预测误差有所下降。</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C988E8E" w14:textId="77777777" w:rsidR="00B14FA3" w:rsidRPr="00B14FA3" w:rsidRDefault="00B14FA3" w:rsidP="00B14FA3">
      <w:pPr>
        <w:keepNext/>
        <w:spacing w:before="60" w:after="40"/>
        <w:ind w:firstLine="0"/>
        <w:jc w:val="center"/>
      </w:pPr>
      <w:r>
        <w:rPr>
          <w:rFonts w:eastAsia="黑体"/>
          <w:b/>
          <w:color w:val="000000"/>
          <w:sz w:val="18"/>
        </w:rPr>
        <w:t>表</w:t>
      </w:r>
      <w:r>
        <w:rPr>
          <w:rFonts w:eastAsia="黑体"/>
          <w:b/>
          <w:color w:val="000000"/>
          <w:sz w:val="18"/>
        </w:rPr>
        <w:t xml:space="preserve">2 </w:t>
      </w:r>
      <w:r>
        <w:rPr>
          <w:rFonts w:eastAsia="黑体"/>
          <w:b/>
          <w:color w:val="000000"/>
          <w:sz w:val="18"/>
        </w:rPr>
        <w:t>三随机种子外部基线比较</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74CC92C2" w14:textId="77777777">
        <w:trPr>
          <w:cantSplit/>
          <w:tblHeader/>
          <w:jc w:val="center"/>
        </w:trPr>
        <w:tc>
          <w:tcPr>
            <w:tcW w:w="1300" w:type="dxa"/>
            <w:tcBorders>
              <w:bottom w:val="single" w:sz="8" w:space="0" w:color="000000"/>
            </w:tcBorders>
            <w:tcMar>
              <w:top w:w="55" w:type="dxa"/>
              <w:left w:w="70" w:type="dxa"/>
              <w:bottom w:w="55" w:type="dxa"/>
              <w:right w:w="70" w:type="dxa"/>
            </w:tcMar>
            <w:vAlign w:val="center"/>
            <w:hideMark/>
          </w:tcPr>
          <w:p w14:paraId="73A1B21A" w14:textId="77777777" w:rsidR="00B14FA3" w:rsidRPr="00B14FA3" w:rsidRDefault="00B14FA3" w:rsidP="00B14FA3">
            <w:pPr>
              <w:keepNext/>
              <w:ind w:firstLine="0"/>
              <w:jc w:val="center"/>
            </w:pPr>
            <w:r>
              <w:rPr>
                <w:b/>
                <w:color w:val="000000"/>
                <w:szCs w:val="21"/>
              </w:rPr>
              <w:t>数据集</w:t>
            </w:r>
          </w:p>
        </w:tc>
        <w:tc>
          <w:tcPr>
            <w:tcW w:w="2500" w:type="dxa"/>
            <w:tcBorders>
              <w:bottom w:val="single" w:sz="8" w:space="0" w:color="000000"/>
            </w:tcBorders>
            <w:tcMar>
              <w:top w:w="55" w:type="dxa"/>
              <w:left w:w="70" w:type="dxa"/>
              <w:bottom w:w="55" w:type="dxa"/>
              <w:right w:w="70" w:type="dxa"/>
            </w:tcMar>
            <w:vAlign w:val="center"/>
            <w:hideMark/>
          </w:tcPr>
          <w:p w14:paraId="1D3A8B74" w14:textId="77777777" w:rsidR="00B14FA3" w:rsidRPr="00B14FA3" w:rsidRDefault="00B14FA3" w:rsidP="00B14FA3">
            <w:pPr>
              <w:keepNext/>
              <w:ind w:firstLine="0"/>
              <w:jc w:val="center"/>
            </w:pPr>
            <w:r>
              <w:rPr>
                <w:b/>
                <w:color w:val="000000"/>
                <w:szCs w:val="21"/>
              </w:rPr>
              <w:t>模型</w:t>
            </w:r>
          </w:p>
        </w:tc>
        <w:tc>
          <w:tcPr>
            <w:tcW w:w="1200" w:type="dxa"/>
            <w:tcBorders>
              <w:bottom w:val="single" w:sz="8" w:space="0" w:color="000000"/>
            </w:tcBorders>
            <w:tcMar>
              <w:top w:w="55" w:type="dxa"/>
              <w:left w:w="70" w:type="dxa"/>
              <w:bottom w:w="55" w:type="dxa"/>
              <w:right w:w="70" w:type="dxa"/>
            </w:tcMar>
            <w:vAlign w:val="center"/>
            <w:hideMark/>
          </w:tcPr>
          <w:p w14:paraId="6A04AC4B" w14:textId="77777777" w:rsidR="00B14FA3" w:rsidRPr="00B14FA3" w:rsidRDefault="00B14FA3" w:rsidP="00B14FA3">
            <w:pPr>
              <w:keepNext/>
              <w:ind w:firstLine="0"/>
              <w:jc w:val="center"/>
            </w:pPr>
            <w:r>
              <w:rPr>
                <w:b/>
                <w:color w:val="000000"/>
                <w:szCs w:val="21"/>
              </w:rPr>
              <w:t>参数量</w:t>
            </w:r>
          </w:p>
        </w:tc>
        <w:tc>
          <w:tcPr>
            <w:tcW w:w="2000" w:type="dxa"/>
            <w:tcBorders>
              <w:bottom w:val="single" w:sz="8" w:space="0" w:color="000000"/>
            </w:tcBorders>
            <w:tcMar>
              <w:top w:w="55" w:type="dxa"/>
              <w:left w:w="70" w:type="dxa"/>
              <w:bottom w:w="55" w:type="dxa"/>
              <w:right w:w="70" w:type="dxa"/>
            </w:tcMar>
            <w:vAlign w:val="center"/>
            <w:hideMark/>
          </w:tcPr>
          <w:p w14:paraId="50529A34" w14:textId="77777777" w:rsidR="00B14FA3" w:rsidRPr="00B14FA3" w:rsidRDefault="00B14FA3" w:rsidP="00B14FA3">
            <w:pPr>
              <w:keepNext/>
              <w:ind w:firstLine="0"/>
              <w:jc w:val="center"/>
            </w:pPr>
            <w:r>
              <w:rPr>
                <w:b/>
                <w:color w:val="000000"/>
                <w:szCs w:val="21"/>
              </w:rPr>
              <w:t>MSE</w:t>
            </w:r>
          </w:p>
        </w:tc>
        <w:tc>
          <w:tcPr>
            <w:tcW w:w="2000" w:type="dxa"/>
            <w:tcBorders>
              <w:bottom w:val="single" w:sz="8" w:space="0" w:color="000000"/>
            </w:tcBorders>
            <w:tcMar>
              <w:top w:w="55" w:type="dxa"/>
              <w:left w:w="70" w:type="dxa"/>
              <w:bottom w:w="55" w:type="dxa"/>
              <w:right w:w="70" w:type="dxa"/>
            </w:tcMar>
            <w:vAlign w:val="center"/>
            <w:hideMark/>
          </w:tcPr>
          <w:p w14:paraId="0BF29862" w14:textId="77777777" w:rsidR="00B14FA3" w:rsidRPr="00B14FA3" w:rsidRDefault="00B14FA3" w:rsidP="00B14FA3">
            <w:pPr>
              <w:keepNext/>
              <w:ind w:firstLine="0"/>
              <w:jc w:val="center"/>
            </w:pPr>
            <w:r>
              <w:rPr>
                <w:b/>
                <w:color w:val="000000"/>
                <w:szCs w:val="21"/>
              </w:rPr>
              <w:t>MAE</w:t>
            </w:r>
          </w:p>
        </w:tc>
      </w:tr>
      <w:tr w:rsidR="00B10182" w14:paraId="7BD3F36B"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7270E4A"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605C29C9"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4ABBFC5B"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28CCFDF6" w14:textId="77777777" w:rsidR="00B14FA3" w:rsidRPr="00B14FA3" w:rsidRDefault="00B14FA3" w:rsidP="00B14FA3">
            <w:pPr>
              <w:keepNext/>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5B37841B" w14:textId="77777777" w:rsidR="00B14FA3" w:rsidRPr="00B14FA3" w:rsidRDefault="00B14FA3" w:rsidP="00B14FA3">
            <w:pPr>
              <w:keepNext/>
              <w:ind w:firstLine="0"/>
              <w:jc w:val="left"/>
            </w:pPr>
            <w:r>
              <w:rPr>
                <w:color w:val="000000"/>
                <w:szCs w:val="21"/>
              </w:rPr>
              <w:t>0.188±0.009</w:t>
            </w:r>
          </w:p>
        </w:tc>
      </w:tr>
      <w:tr w:rsidR="00B10182" w14:paraId="30BC0D54"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0D2E5A7E"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65248BF" w14:textId="77777777" w:rsidR="00B14FA3" w:rsidRPr="00B14FA3" w:rsidRDefault="00B14FA3" w:rsidP="00B14FA3">
            <w:pPr>
              <w:keepNext/>
              <w:ind w:firstLine="0"/>
              <w:jc w:val="left"/>
            </w:pPr>
            <w:r>
              <w:rPr>
                <w:color w:val="000000"/>
                <w:szCs w:val="21"/>
              </w:rPr>
              <w:t>LightTS</w:t>
            </w:r>
          </w:p>
        </w:tc>
        <w:tc>
          <w:tcPr>
            <w:tcW w:w="1200" w:type="dxa"/>
            <w:tcBorders>
              <w:top w:val="nil"/>
              <w:left w:val="nil"/>
              <w:bottom w:val="nil"/>
              <w:right w:val="nil"/>
            </w:tcBorders>
            <w:tcMar>
              <w:top w:w="55" w:type="dxa"/>
              <w:left w:w="70" w:type="dxa"/>
              <w:bottom w:w="55" w:type="dxa"/>
              <w:right w:w="70" w:type="dxa"/>
            </w:tcMar>
            <w:vAlign w:val="center"/>
            <w:hideMark/>
          </w:tcPr>
          <w:p w14:paraId="5DBDB155" w14:textId="77777777" w:rsidR="00B14FA3" w:rsidRPr="00B14FA3" w:rsidRDefault="00B14FA3" w:rsidP="00B14FA3">
            <w:pPr>
              <w:keepNext/>
              <w:ind w:firstLine="0"/>
              <w:jc w:val="left"/>
            </w:pPr>
            <w:r>
              <w:rPr>
                <w:color w:val="000000"/>
                <w:szCs w:val="21"/>
              </w:rPr>
              <w:t>130162</w:t>
            </w:r>
          </w:p>
        </w:tc>
        <w:tc>
          <w:tcPr>
            <w:tcW w:w="2000" w:type="dxa"/>
            <w:tcBorders>
              <w:top w:val="nil"/>
              <w:left w:val="nil"/>
              <w:bottom w:val="nil"/>
              <w:right w:val="nil"/>
            </w:tcBorders>
            <w:tcMar>
              <w:top w:w="55" w:type="dxa"/>
              <w:left w:w="70" w:type="dxa"/>
              <w:bottom w:w="55" w:type="dxa"/>
              <w:right w:w="70" w:type="dxa"/>
            </w:tcMar>
            <w:vAlign w:val="center"/>
            <w:hideMark/>
          </w:tcPr>
          <w:p w14:paraId="514903F0" w14:textId="77777777" w:rsidR="00B14FA3" w:rsidRPr="00B14FA3" w:rsidRDefault="00B14FA3" w:rsidP="00B14FA3">
            <w:pPr>
              <w:keepNext/>
              <w:ind w:firstLine="0"/>
              <w:jc w:val="left"/>
            </w:pPr>
            <w:r>
              <w:rPr>
                <w:color w:val="000000"/>
                <w:szCs w:val="21"/>
              </w:rPr>
              <w:t>0.265±0.011</w:t>
            </w:r>
          </w:p>
        </w:tc>
        <w:tc>
          <w:tcPr>
            <w:tcW w:w="2000" w:type="dxa"/>
            <w:tcBorders>
              <w:top w:val="nil"/>
              <w:left w:val="nil"/>
              <w:bottom w:val="nil"/>
              <w:right w:val="nil"/>
            </w:tcBorders>
            <w:tcMar>
              <w:top w:w="55" w:type="dxa"/>
              <w:left w:w="70" w:type="dxa"/>
              <w:bottom w:w="55" w:type="dxa"/>
              <w:right w:w="70" w:type="dxa"/>
            </w:tcMar>
            <w:vAlign w:val="center"/>
            <w:hideMark/>
          </w:tcPr>
          <w:p w14:paraId="7928E3E7" w14:textId="77777777" w:rsidR="00B14FA3" w:rsidRPr="00B14FA3" w:rsidRDefault="00B14FA3" w:rsidP="00B14FA3">
            <w:pPr>
              <w:keepNext/>
              <w:ind w:firstLine="0"/>
              <w:jc w:val="left"/>
            </w:pPr>
            <w:r>
              <w:rPr>
                <w:color w:val="000000"/>
                <w:szCs w:val="21"/>
              </w:rPr>
              <w:t>0.204±0.008</w:t>
            </w:r>
          </w:p>
        </w:tc>
      </w:tr>
      <w:tr w:rsidR="00B10182" w14:paraId="346D7B1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9582576"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05A1E076"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2E2CB203"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03B5D7D6" w14:textId="77777777" w:rsidR="00B14FA3" w:rsidRPr="00B14FA3" w:rsidRDefault="00B14FA3" w:rsidP="00B14FA3">
            <w:pPr>
              <w:keepNext/>
              <w:ind w:firstLine="0"/>
              <w:jc w:val="left"/>
            </w:pPr>
            <w:r>
              <w:rPr>
                <w:color w:val="000000"/>
                <w:szCs w:val="21"/>
              </w:rPr>
              <w:t>0.186±0.002</w:t>
            </w:r>
          </w:p>
        </w:tc>
        <w:tc>
          <w:tcPr>
            <w:tcW w:w="2000" w:type="dxa"/>
            <w:tcBorders>
              <w:top w:val="nil"/>
              <w:left w:val="nil"/>
              <w:bottom w:val="nil"/>
              <w:right w:val="nil"/>
            </w:tcBorders>
            <w:tcMar>
              <w:top w:w="55" w:type="dxa"/>
              <w:left w:w="70" w:type="dxa"/>
              <w:bottom w:w="55" w:type="dxa"/>
              <w:right w:w="70" w:type="dxa"/>
            </w:tcMar>
            <w:vAlign w:val="center"/>
            <w:hideMark/>
          </w:tcPr>
          <w:p w14:paraId="7225EFCD" w14:textId="77777777" w:rsidR="00B14FA3" w:rsidRPr="00B14FA3" w:rsidRDefault="00B14FA3" w:rsidP="00B14FA3">
            <w:pPr>
              <w:keepNext/>
              <w:ind w:firstLine="0"/>
              <w:jc w:val="left"/>
            </w:pPr>
            <w:r>
              <w:rPr>
                <w:color w:val="000000"/>
                <w:szCs w:val="21"/>
              </w:rPr>
              <w:t>0.168±0.001</w:t>
            </w:r>
          </w:p>
        </w:tc>
      </w:tr>
      <w:tr w:rsidR="00B10182" w14:paraId="08C5DFD2"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718FA40"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4445469C"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30B2B4F3"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52D4A5CB" w14:textId="77777777" w:rsidR="00B14FA3" w:rsidRPr="00B14FA3" w:rsidRDefault="00B14FA3" w:rsidP="00B14FA3">
            <w:pPr>
              <w:keepNext/>
              <w:ind w:firstLine="0"/>
              <w:jc w:val="left"/>
            </w:pPr>
            <w:r>
              <w:rPr>
                <w:color w:val="000000"/>
                <w:szCs w:val="21"/>
              </w:rPr>
              <w:t>0.454±0.007</w:t>
            </w:r>
          </w:p>
        </w:tc>
        <w:tc>
          <w:tcPr>
            <w:tcW w:w="2000" w:type="dxa"/>
            <w:tcBorders>
              <w:top w:val="nil"/>
              <w:left w:val="nil"/>
              <w:bottom w:val="nil"/>
              <w:right w:val="nil"/>
            </w:tcBorders>
            <w:tcMar>
              <w:top w:w="55" w:type="dxa"/>
              <w:left w:w="70" w:type="dxa"/>
              <w:bottom w:w="55" w:type="dxa"/>
              <w:right w:w="70" w:type="dxa"/>
            </w:tcMar>
            <w:vAlign w:val="center"/>
            <w:hideMark/>
          </w:tcPr>
          <w:p w14:paraId="42E93C94" w14:textId="77777777" w:rsidR="00B14FA3" w:rsidRPr="00B14FA3" w:rsidRDefault="00B14FA3" w:rsidP="00B14FA3">
            <w:pPr>
              <w:keepNext/>
              <w:ind w:firstLine="0"/>
              <w:jc w:val="left"/>
            </w:pPr>
            <w:r>
              <w:rPr>
                <w:color w:val="000000"/>
                <w:szCs w:val="21"/>
              </w:rPr>
              <w:t>0.383±0.006</w:t>
            </w:r>
          </w:p>
        </w:tc>
      </w:tr>
      <w:tr w:rsidR="00B10182" w14:paraId="14CFFB90"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2A283DE7"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64DB8CC0" w14:textId="77777777" w:rsidR="00B14FA3" w:rsidRPr="00B14FA3" w:rsidRDefault="00B14FA3" w:rsidP="00B14FA3">
            <w:pPr>
              <w:keepNext/>
              <w:ind w:firstLine="0"/>
              <w:jc w:val="left"/>
            </w:pPr>
            <w:r>
              <w:rPr>
                <w:color w:val="000000"/>
                <w:szCs w:val="21"/>
              </w:rPr>
              <w:t>LightTS</w:t>
            </w:r>
          </w:p>
        </w:tc>
        <w:tc>
          <w:tcPr>
            <w:tcW w:w="1200" w:type="dxa"/>
            <w:tcBorders>
              <w:top w:val="nil"/>
              <w:left w:val="nil"/>
              <w:bottom w:val="nil"/>
              <w:right w:val="nil"/>
            </w:tcBorders>
            <w:tcMar>
              <w:top w:w="55" w:type="dxa"/>
              <w:left w:w="70" w:type="dxa"/>
              <w:bottom w:w="55" w:type="dxa"/>
              <w:right w:w="70" w:type="dxa"/>
            </w:tcMar>
            <w:vAlign w:val="center"/>
            <w:hideMark/>
          </w:tcPr>
          <w:p w14:paraId="55B386AD" w14:textId="77777777" w:rsidR="00B14FA3" w:rsidRPr="00B14FA3" w:rsidRDefault="00B14FA3" w:rsidP="00B14FA3">
            <w:pPr>
              <w:keepNext/>
              <w:ind w:firstLine="0"/>
              <w:jc w:val="left"/>
            </w:pPr>
            <w:r>
              <w:rPr>
                <w:color w:val="000000"/>
                <w:szCs w:val="21"/>
              </w:rPr>
              <w:t>384382</w:t>
            </w:r>
          </w:p>
        </w:tc>
        <w:tc>
          <w:tcPr>
            <w:tcW w:w="2000" w:type="dxa"/>
            <w:tcBorders>
              <w:top w:val="nil"/>
              <w:left w:val="nil"/>
              <w:bottom w:val="nil"/>
              <w:right w:val="nil"/>
            </w:tcBorders>
            <w:tcMar>
              <w:top w:w="55" w:type="dxa"/>
              <w:left w:w="70" w:type="dxa"/>
              <w:bottom w:w="55" w:type="dxa"/>
              <w:right w:w="70" w:type="dxa"/>
            </w:tcMar>
            <w:vAlign w:val="center"/>
            <w:hideMark/>
          </w:tcPr>
          <w:p w14:paraId="63428E63" w14:textId="77777777" w:rsidR="00B14FA3" w:rsidRPr="00B14FA3" w:rsidRDefault="00B14FA3" w:rsidP="00B14FA3">
            <w:pPr>
              <w:keepNext/>
              <w:ind w:firstLine="0"/>
              <w:jc w:val="left"/>
            </w:pPr>
            <w:r>
              <w:rPr>
                <w:color w:val="000000"/>
                <w:szCs w:val="21"/>
              </w:rPr>
              <w:t>0.817±0.024</w:t>
            </w:r>
          </w:p>
        </w:tc>
        <w:tc>
          <w:tcPr>
            <w:tcW w:w="2000" w:type="dxa"/>
            <w:tcBorders>
              <w:top w:val="nil"/>
              <w:left w:val="nil"/>
              <w:bottom w:val="nil"/>
              <w:right w:val="nil"/>
            </w:tcBorders>
            <w:tcMar>
              <w:top w:w="55" w:type="dxa"/>
              <w:left w:w="70" w:type="dxa"/>
              <w:bottom w:w="55" w:type="dxa"/>
              <w:right w:w="70" w:type="dxa"/>
            </w:tcMar>
            <w:vAlign w:val="center"/>
            <w:hideMark/>
          </w:tcPr>
          <w:p w14:paraId="0B5D4941" w14:textId="77777777" w:rsidR="00B14FA3" w:rsidRPr="00B14FA3" w:rsidRDefault="00B14FA3" w:rsidP="00B14FA3">
            <w:pPr>
              <w:keepNext/>
              <w:ind w:firstLine="0"/>
              <w:jc w:val="left"/>
            </w:pPr>
            <w:r>
              <w:rPr>
                <w:color w:val="000000"/>
                <w:szCs w:val="21"/>
              </w:rPr>
              <w:t>0.523±0.014</w:t>
            </w:r>
          </w:p>
        </w:tc>
      </w:tr>
      <w:tr w:rsidR="00B10182" w14:paraId="72F28BC4"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09F27897"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3608F1F4"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1036E0DB"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245CE26A" w14:textId="77777777" w:rsidR="00B14FA3" w:rsidRPr="00B14FA3" w:rsidRDefault="00B14FA3" w:rsidP="00B14FA3">
            <w:pPr>
              <w:keepNext/>
              <w:ind w:firstLine="0"/>
              <w:jc w:val="left"/>
            </w:pPr>
            <w:r>
              <w:rPr>
                <w:color w:val="000000"/>
                <w:szCs w:val="21"/>
              </w:rPr>
              <w:t>0.434±0.051</w:t>
            </w:r>
          </w:p>
        </w:tc>
        <w:tc>
          <w:tcPr>
            <w:tcW w:w="2000" w:type="dxa"/>
            <w:tcBorders>
              <w:top w:val="nil"/>
              <w:left w:val="nil"/>
              <w:bottom w:val="nil"/>
              <w:right w:val="nil"/>
            </w:tcBorders>
            <w:tcMar>
              <w:top w:w="55" w:type="dxa"/>
              <w:left w:w="70" w:type="dxa"/>
              <w:bottom w:w="55" w:type="dxa"/>
              <w:right w:w="70" w:type="dxa"/>
            </w:tcMar>
            <w:vAlign w:val="center"/>
            <w:hideMark/>
          </w:tcPr>
          <w:p w14:paraId="1A66C078" w14:textId="77777777" w:rsidR="00B14FA3" w:rsidRPr="00B14FA3" w:rsidRDefault="00B14FA3" w:rsidP="00B14FA3">
            <w:pPr>
              <w:keepNext/>
              <w:ind w:firstLine="0"/>
              <w:jc w:val="left"/>
            </w:pPr>
            <w:r>
              <w:rPr>
                <w:color w:val="000000"/>
                <w:szCs w:val="21"/>
              </w:rPr>
              <w:t>0.370±0.031</w:t>
            </w:r>
          </w:p>
        </w:tc>
      </w:tr>
    </w:tbl>
    <w:p w14:paraId="5DE8C5AD" w14:textId="77777777" w:rsidR="00B14FA3" w:rsidRPr="00B14FA3" w:rsidRDefault="00B14FA3" w:rsidP="00B14FA3">
      <w:r>
        <w:rPr>
          <w:color w:val="000000"/>
          <w:szCs w:val="21"/>
        </w:rPr>
        <w:t>图2给出了3个共同随机种子的逐次结果。Abilene上，本文方法3次实验的MSE和MAE均低于DLinear和LightTS。GÉANT上，相对LightTS同样保持较低误差；与DLinear比较时，个别随机种子的结果存在波动，但3次实验的平均值仍然更低。结合表2可知，本文方法在两个数据集上的平均误差均有所下降，在GÉANT上相对LightTS的差距更明显。</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jc w:val="center"/>
        <w:keepNext/>
      </w:pPr>
      <w:r>
        <w:drawing>
          <wp:inline xmlns:a="http://schemas.openxmlformats.org/drawingml/2006/main" xmlns:pic="http://schemas.openxmlformats.org/drawingml/2006/picture">
            <wp:extent cx="5074920" cy="3749116"/>
            <wp:docPr id="23" name="图2 三随机种子外部基线配对结果" descr="Abilene和GÉANT上DLinear、LightTS与本文方法在seed42至44下的MSE和MAE配对结果；方形、圆形和三角形分别表示seed42、43和44，实线连接三种子均值。"/>
            <wp:cNvGraphicFramePr>
              <a:graphicFrameLocks noChangeAspect="1"/>
            </wp:cNvGraphicFramePr>
            <a:graphic>
              <a:graphicData uri="http://schemas.openxmlformats.org/drawingml/2006/picture">
                <pic:pic>
                  <pic:nvPicPr>
                    <pic:cNvPr id="0" name="fig2_external_baseline_reduction_color.png"/>
                    <pic:cNvPicPr/>
                  </pic:nvPicPr>
                  <pic:blipFill>
                    <a:blip r:embed="rId15"/>
                    <a:stretch>
                      <a:fillRect/>
                    </a:stretch>
                  </pic:blipFill>
                  <pic:spPr>
                    <a:xfrm>
                      <a:off x="0" y="0"/>
                      <a:ext cx="5074920" cy="3749116"/>
                    </a:xfrm>
                    <a:prstGeom prst="rect"/>
                  </pic:spPr>
                </pic:pic>
              </a:graphicData>
            </a:graphic>
          </wp:inline>
        </w:drawing>
      </w:r>
    </w:p>
    <w:p w14:paraId="64F9B12D" w14:textId="77777777" w:rsidR="00B14FA3" w:rsidRPr="00B14FA3" w:rsidRDefault="00B14FA3" w:rsidP="00B14FA3">
      <w:pPr>
        <w:keepLines/>
        <w:spacing w:before="60" w:after="80"/>
        <w:ind w:firstLine="0"/>
        <w:jc w:val="center"/>
      </w:pPr>
      <w:r>
        <w:rPr>
          <w:rFonts w:eastAsia="黑体"/>
          <w:b/>
          <w:sz w:val="18"/>
          <w:szCs w:val="18"/>
        </w:rPr>
        <w:t>图2 Abilene与GÉANT上三随机种子外部基线配对结果</w:t>
      </w:r>
    </w:p>
    <w:p w14:paraId="45F47835"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2.4 </w:t>
      </w:r>
      <w:r>
        <w:rPr>
          <w:rFonts w:ascii="Arial" w:eastAsia="黑体" w:hAnsi="Arial"/>
          <w:b/>
          <w:bCs/>
          <w:color w:val="000000"/>
          <w:szCs w:val="21"/>
        </w:rPr>
        <w:t>八随机种子核心消融与稳定性</w:t>
      </w:r>
    </w:p>
    <w:p w14:paraId="4EB4547B" w14:textId="77777777" w:rsidR="00B14FA3" w:rsidRPr="00B14FA3" w:rsidRDefault="00B14FA3" w:rsidP="00B14FA3">
      <w:r>
        <w:rPr>
          <w:color w:val="000000"/>
          <w:szCs w:val="21"/>
        </w:rPr>
        <w:t>表3将DLinear、固定等权多尺度模型和本文方法的重复次数扩展到8个随机种子。本文方法相对DLinear在Abilene和GÉANT上的平均MSE分别降低2.77%和2.37%。固定等权模型已经使用相同的多尺度专家，在此基础上，本文方法的MSE仍分别降低1.67%和4.68%。这表明误差下降并非只来自多尺度输入，尺度权重随样本变化也产生了作用。</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7719DA9B" w14:textId="77777777" w:rsidR="00B14FA3" w:rsidRPr="00B14FA3" w:rsidRDefault="00B14FA3" w:rsidP="00B14FA3">
      <w:pPr>
        <w:keepNext/>
        <w:spacing w:before="60" w:after="40"/>
        <w:ind w:firstLine="0"/>
        <w:jc w:val="center"/>
      </w:pPr>
      <w:r>
        <w:rPr>
          <w:rFonts w:eastAsia="黑体"/>
          <w:b/>
          <w:color w:val="000000"/>
          <w:sz w:val="18"/>
        </w:rPr>
        <w:t>表</w:t>
      </w:r>
      <w:r>
        <w:rPr>
          <w:rFonts w:eastAsia="黑体"/>
          <w:b/>
          <w:color w:val="000000"/>
          <w:sz w:val="18"/>
        </w:rPr>
        <w:t xml:space="preserve">3 </w:t>
      </w:r>
      <w:r>
        <w:rPr>
          <w:rFonts w:eastAsia="黑体"/>
          <w:b/>
          <w:color w:val="000000"/>
          <w:sz w:val="18"/>
        </w:rPr>
        <w:t>八随机种子核心模型结果</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3DA1AD1C" w14:textId="77777777">
        <w:trPr>
          <w:cantSplit/>
          <w:tblHeader/>
          <w:jc w:val="center"/>
        </w:trPr>
        <w:tc>
          <w:tcPr>
            <w:tcW w:w="1300" w:type="dxa"/>
            <w:tcBorders>
              <w:bottom w:val="single" w:sz="8" w:space="0" w:color="000000"/>
            </w:tcBorders>
            <w:tcMar>
              <w:top w:w="55" w:type="dxa"/>
              <w:left w:w="70" w:type="dxa"/>
              <w:bottom w:w="55" w:type="dxa"/>
              <w:right w:w="70" w:type="dxa"/>
            </w:tcMar>
            <w:vAlign w:val="center"/>
            <w:hideMark/>
          </w:tcPr>
          <w:p w14:paraId="35E46A0A" w14:textId="77777777" w:rsidR="00B14FA3" w:rsidRPr="00B14FA3" w:rsidRDefault="00B14FA3" w:rsidP="00B14FA3">
            <w:pPr>
              <w:keepNext/>
              <w:ind w:firstLine="0"/>
              <w:jc w:val="center"/>
            </w:pPr>
            <w:r>
              <w:rPr>
                <w:b/>
                <w:color w:val="000000"/>
                <w:szCs w:val="21"/>
              </w:rPr>
              <w:t>数据集</w:t>
            </w:r>
          </w:p>
        </w:tc>
        <w:tc>
          <w:tcPr>
            <w:tcW w:w="2500" w:type="dxa"/>
            <w:tcBorders>
              <w:bottom w:val="single" w:sz="8" w:space="0" w:color="000000"/>
            </w:tcBorders>
            <w:tcMar>
              <w:top w:w="55" w:type="dxa"/>
              <w:left w:w="70" w:type="dxa"/>
              <w:bottom w:w="55" w:type="dxa"/>
              <w:right w:w="70" w:type="dxa"/>
            </w:tcMar>
            <w:vAlign w:val="center"/>
            <w:hideMark/>
          </w:tcPr>
          <w:p w14:paraId="16C4D3AF" w14:textId="77777777" w:rsidR="00B14FA3" w:rsidRPr="00B14FA3" w:rsidRDefault="00B14FA3" w:rsidP="00B14FA3">
            <w:pPr>
              <w:keepNext/>
              <w:ind w:firstLine="0"/>
              <w:jc w:val="center"/>
            </w:pPr>
            <w:r>
              <w:rPr>
                <w:b/>
                <w:color w:val="000000"/>
                <w:szCs w:val="21"/>
              </w:rPr>
              <w:t>模型</w:t>
            </w:r>
          </w:p>
        </w:tc>
        <w:tc>
          <w:tcPr>
            <w:tcW w:w="1200" w:type="dxa"/>
            <w:tcBorders>
              <w:bottom w:val="single" w:sz="8" w:space="0" w:color="000000"/>
            </w:tcBorders>
            <w:tcMar>
              <w:top w:w="55" w:type="dxa"/>
              <w:left w:w="70" w:type="dxa"/>
              <w:bottom w:w="55" w:type="dxa"/>
              <w:right w:w="70" w:type="dxa"/>
            </w:tcMar>
            <w:vAlign w:val="center"/>
            <w:hideMark/>
          </w:tcPr>
          <w:p w14:paraId="17F99015" w14:textId="77777777" w:rsidR="00B14FA3" w:rsidRPr="00B14FA3" w:rsidRDefault="00B14FA3" w:rsidP="00B14FA3">
            <w:pPr>
              <w:keepNext/>
              <w:ind w:firstLine="0"/>
              <w:jc w:val="center"/>
            </w:pPr>
            <w:r>
              <w:rPr>
                <w:b/>
                <w:color w:val="000000"/>
                <w:szCs w:val="21"/>
              </w:rPr>
              <w:t>参数量</w:t>
            </w:r>
          </w:p>
        </w:tc>
        <w:tc>
          <w:tcPr>
            <w:tcW w:w="2000" w:type="dxa"/>
            <w:tcBorders>
              <w:bottom w:val="single" w:sz="8" w:space="0" w:color="000000"/>
            </w:tcBorders>
            <w:tcMar>
              <w:top w:w="55" w:type="dxa"/>
              <w:left w:w="70" w:type="dxa"/>
              <w:bottom w:w="55" w:type="dxa"/>
              <w:right w:w="70" w:type="dxa"/>
            </w:tcMar>
            <w:vAlign w:val="center"/>
            <w:hideMark/>
          </w:tcPr>
          <w:p w14:paraId="5C192F3F" w14:textId="77777777" w:rsidR="00B14FA3" w:rsidRPr="00B14FA3" w:rsidRDefault="00B14FA3" w:rsidP="00B14FA3">
            <w:pPr>
              <w:keepNext/>
              <w:ind w:firstLine="0"/>
              <w:jc w:val="center"/>
            </w:pPr>
            <w:r>
              <w:rPr>
                <w:b/>
                <w:color w:val="000000"/>
                <w:szCs w:val="21"/>
              </w:rPr>
              <w:t>MSE</w:t>
            </w:r>
          </w:p>
        </w:tc>
        <w:tc>
          <w:tcPr>
            <w:tcW w:w="2000" w:type="dxa"/>
            <w:tcBorders>
              <w:bottom w:val="single" w:sz="8" w:space="0" w:color="000000"/>
            </w:tcBorders>
            <w:tcMar>
              <w:top w:w="55" w:type="dxa"/>
              <w:left w:w="70" w:type="dxa"/>
              <w:bottom w:w="55" w:type="dxa"/>
              <w:right w:w="70" w:type="dxa"/>
            </w:tcMar>
            <w:vAlign w:val="center"/>
            <w:hideMark/>
          </w:tcPr>
          <w:p w14:paraId="4D3677E0" w14:textId="77777777" w:rsidR="00B14FA3" w:rsidRPr="00B14FA3" w:rsidRDefault="00B14FA3" w:rsidP="00B14FA3">
            <w:pPr>
              <w:keepNext/>
              <w:ind w:firstLine="0"/>
              <w:jc w:val="center"/>
            </w:pPr>
            <w:r>
              <w:rPr>
                <w:b/>
                <w:color w:val="000000"/>
                <w:szCs w:val="21"/>
              </w:rPr>
              <w:t>MAE</w:t>
            </w:r>
          </w:p>
        </w:tc>
      </w:tr>
      <w:tr w:rsidR="00B10182" w14:paraId="74FD5207"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7E7AD1C0"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8CDB700"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16F24568"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675D686B" w14:textId="77777777" w:rsidR="00B14FA3" w:rsidRPr="00B14FA3" w:rsidRDefault="00B14FA3" w:rsidP="00B14FA3">
            <w:pPr>
              <w:keepNext/>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057BAF36" w14:textId="77777777" w:rsidR="00B14FA3" w:rsidRPr="00B14FA3" w:rsidRDefault="00B14FA3" w:rsidP="00B14FA3">
            <w:pPr>
              <w:keepNext/>
              <w:ind w:firstLine="0"/>
              <w:jc w:val="left"/>
            </w:pPr>
            <w:r>
              <w:rPr>
                <w:color w:val="000000"/>
                <w:szCs w:val="21"/>
              </w:rPr>
              <w:t>0.189±0.008</w:t>
            </w:r>
          </w:p>
        </w:tc>
      </w:tr>
      <w:tr w:rsidR="00B10182" w14:paraId="1610B71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540C537"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10DA8D66" w14:textId="77777777" w:rsidR="00B14FA3" w:rsidRPr="00B14FA3" w:rsidRDefault="00B14FA3" w:rsidP="00B14FA3">
            <w:pPr>
              <w:keepNext/>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2B6F414C" w14:textId="77777777" w:rsidR="00B14FA3" w:rsidRPr="00B14FA3" w:rsidRDefault="00B14FA3" w:rsidP="00B14FA3">
            <w:pPr>
              <w:keepNext/>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6628BFC6" w14:textId="77777777" w:rsidR="00B14FA3" w:rsidRPr="00B14FA3" w:rsidRDefault="00B14FA3" w:rsidP="00B14FA3">
            <w:pPr>
              <w:keepNext/>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4451ED7D" w14:textId="77777777" w:rsidR="00B14FA3" w:rsidRPr="00B14FA3" w:rsidRDefault="00B14FA3" w:rsidP="00B14FA3">
            <w:pPr>
              <w:keepNext/>
              <w:ind w:firstLine="0"/>
              <w:jc w:val="left"/>
            </w:pPr>
            <w:r>
              <w:rPr>
                <w:color w:val="000000"/>
                <w:szCs w:val="21"/>
              </w:rPr>
              <w:t>0.191±0.006</w:t>
            </w:r>
          </w:p>
        </w:tc>
      </w:tr>
      <w:tr w:rsidR="00B10182" w14:paraId="23DB7E9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A4CCFAA"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0FC76C3A"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708F9AC6"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5031967D" w14:textId="77777777" w:rsidR="00B14FA3" w:rsidRPr="00B14FA3" w:rsidRDefault="00B14FA3" w:rsidP="00B14FA3">
            <w:pPr>
              <w:keepNext/>
              <w:ind w:firstLine="0"/>
              <w:jc w:val="left"/>
            </w:pPr>
            <w:r>
              <w:rPr>
                <w:color w:val="000000"/>
                <w:szCs w:val="21"/>
              </w:rPr>
              <w:t>0.189±0.003</w:t>
            </w:r>
          </w:p>
        </w:tc>
        <w:tc>
          <w:tcPr>
            <w:tcW w:w="2000" w:type="dxa"/>
            <w:tcBorders>
              <w:top w:val="nil"/>
              <w:left w:val="nil"/>
              <w:bottom w:val="nil"/>
              <w:right w:val="nil"/>
            </w:tcBorders>
            <w:tcMar>
              <w:top w:w="55" w:type="dxa"/>
              <w:left w:w="70" w:type="dxa"/>
              <w:bottom w:w="55" w:type="dxa"/>
              <w:right w:w="70" w:type="dxa"/>
            </w:tcMar>
            <w:vAlign w:val="center"/>
            <w:hideMark/>
          </w:tcPr>
          <w:p w14:paraId="19671D4B" w14:textId="77777777" w:rsidR="00B14FA3" w:rsidRPr="00B14FA3" w:rsidRDefault="00B14FA3" w:rsidP="00B14FA3">
            <w:pPr>
              <w:keepNext/>
              <w:ind w:firstLine="0"/>
              <w:jc w:val="left"/>
            </w:pPr>
            <w:r>
              <w:rPr>
                <w:color w:val="000000"/>
                <w:szCs w:val="21"/>
              </w:rPr>
              <w:t>0.173±0.008</w:t>
            </w:r>
          </w:p>
        </w:tc>
      </w:tr>
      <w:tr w:rsidR="00B10182" w14:paraId="56D06F3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6945779"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73EC9705"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566A8164"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4EF2CCCB" w14:textId="77777777" w:rsidR="00B14FA3" w:rsidRPr="00B14FA3" w:rsidRDefault="00B14FA3" w:rsidP="00B14FA3">
            <w:pPr>
              <w:keepNext/>
              <w:ind w:firstLine="0"/>
              <w:jc w:val="left"/>
            </w:pPr>
            <w:r>
              <w:rPr>
                <w:color w:val="000000"/>
                <w:szCs w:val="21"/>
              </w:rPr>
              <w:t>0.437±0.016</w:t>
            </w:r>
          </w:p>
        </w:tc>
        <w:tc>
          <w:tcPr>
            <w:tcW w:w="2000" w:type="dxa"/>
            <w:tcBorders>
              <w:top w:val="nil"/>
              <w:left w:val="nil"/>
              <w:bottom w:val="nil"/>
              <w:right w:val="nil"/>
            </w:tcBorders>
            <w:tcMar>
              <w:top w:w="55" w:type="dxa"/>
              <w:left w:w="70" w:type="dxa"/>
              <w:bottom w:w="55" w:type="dxa"/>
              <w:right w:w="70" w:type="dxa"/>
            </w:tcMar>
            <w:vAlign w:val="center"/>
            <w:hideMark/>
          </w:tcPr>
          <w:p w14:paraId="53A75E10" w14:textId="77777777" w:rsidR="00B14FA3" w:rsidRPr="00B14FA3" w:rsidRDefault="00B14FA3" w:rsidP="00B14FA3">
            <w:pPr>
              <w:keepNext/>
              <w:ind w:firstLine="0"/>
              <w:jc w:val="left"/>
            </w:pPr>
            <w:r>
              <w:rPr>
                <w:color w:val="000000"/>
                <w:szCs w:val="21"/>
              </w:rPr>
              <w:t>0.371±0.011</w:t>
            </w:r>
          </w:p>
        </w:tc>
      </w:tr>
      <w:tr w:rsidR="00B10182" w14:paraId="66E7B95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54878CA"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84E9A01" w14:textId="77777777" w:rsidR="00B14FA3" w:rsidRPr="00B14FA3" w:rsidRDefault="00B14FA3" w:rsidP="00B14FA3">
            <w:pPr>
              <w:keepNext/>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1A76C9D2" w14:textId="77777777" w:rsidR="00B14FA3" w:rsidRPr="00B14FA3" w:rsidRDefault="00B14FA3" w:rsidP="00B14FA3">
            <w:pPr>
              <w:keepNext/>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5A292C45" w14:textId="77777777" w:rsidR="00B14FA3" w:rsidRPr="00B14FA3" w:rsidRDefault="00B14FA3" w:rsidP="00B14FA3">
            <w:pPr>
              <w:keepNext/>
              <w:ind w:firstLine="0"/>
              <w:jc w:val="left"/>
            </w:pPr>
            <w:r>
              <w:rPr>
                <w:color w:val="000000"/>
                <w:szCs w:val="21"/>
              </w:rPr>
              <w:t>0.447±0.014</w:t>
            </w:r>
          </w:p>
        </w:tc>
        <w:tc>
          <w:tcPr>
            <w:tcW w:w="2000" w:type="dxa"/>
            <w:tcBorders>
              <w:top w:val="nil"/>
              <w:left w:val="nil"/>
              <w:bottom w:val="nil"/>
              <w:right w:val="nil"/>
            </w:tcBorders>
            <w:tcMar>
              <w:top w:w="55" w:type="dxa"/>
              <w:left w:w="70" w:type="dxa"/>
              <w:bottom w:w="55" w:type="dxa"/>
              <w:right w:w="70" w:type="dxa"/>
            </w:tcMar>
            <w:vAlign w:val="center"/>
            <w:hideMark/>
          </w:tcPr>
          <w:p w14:paraId="789428A2" w14:textId="77777777" w:rsidR="00B14FA3" w:rsidRPr="00B14FA3" w:rsidRDefault="00B14FA3" w:rsidP="00B14FA3">
            <w:pPr>
              <w:keepNext/>
              <w:ind w:firstLine="0"/>
              <w:jc w:val="left"/>
            </w:pPr>
            <w:r>
              <w:rPr>
                <w:color w:val="000000"/>
                <w:szCs w:val="21"/>
              </w:rPr>
              <w:t>0.377±0.009</w:t>
            </w:r>
          </w:p>
        </w:tc>
      </w:tr>
      <w:tr w:rsidR="00B10182" w14:paraId="25E1F67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2BD8356"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B646072"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74D4C5F6"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21BB5253" w14:textId="77777777" w:rsidR="00B14FA3" w:rsidRPr="00B14FA3" w:rsidRDefault="00B14FA3" w:rsidP="00B14FA3">
            <w:pPr>
              <w:keepNext/>
              <w:ind w:firstLine="0"/>
              <w:jc w:val="left"/>
            </w:pPr>
            <w:r>
              <w:rPr>
                <w:color w:val="000000"/>
                <w:szCs w:val="21"/>
              </w:rPr>
              <w:t>0.426±0.029</w:t>
            </w:r>
          </w:p>
        </w:tc>
        <w:tc>
          <w:tcPr>
            <w:tcW w:w="2000" w:type="dxa"/>
            <w:tcBorders>
              <w:top w:val="nil"/>
              <w:left w:val="nil"/>
              <w:bottom w:val="nil"/>
              <w:right w:val="nil"/>
            </w:tcBorders>
            <w:tcMar>
              <w:top w:w="55" w:type="dxa"/>
              <w:left w:w="70" w:type="dxa"/>
              <w:bottom w:w="55" w:type="dxa"/>
              <w:right w:w="70" w:type="dxa"/>
            </w:tcMar>
            <w:vAlign w:val="center"/>
            <w:hideMark/>
          </w:tcPr>
          <w:p w14:paraId="2A51F99E" w14:textId="77777777" w:rsidR="00B14FA3" w:rsidRPr="00B14FA3" w:rsidRDefault="00B14FA3" w:rsidP="00B14FA3">
            <w:pPr>
              <w:keepNext/>
              <w:ind w:firstLine="0"/>
              <w:jc w:val="left"/>
            </w:pPr>
            <w:r>
              <w:rPr>
                <w:color w:val="000000"/>
                <w:szCs w:val="21"/>
              </w:rPr>
              <w:t>0.366±0.018</w:t>
            </w:r>
          </w:p>
        </w:tc>
      </w:tr>
    </w:tbl>
    <w:p w14:paraId="68B92BCA" w14:textId="77777777" w:rsidR="00B14FA3" w:rsidRPr="00B14FA3" w:rsidRDefault="00B14FA3" w:rsidP="00B14FA3">
      <w:r>
        <w:rPr>
          <w:color w:val="000000"/>
          <w:szCs w:val="21"/>
        </w:rPr>
        <w:t>图3比较了固定等权模型与本文方法在相同随机种子下的MSE。Abilene的8个随机种子中，有6个随机种子下本文方法的MSE更低；GÉANT中为7个。两个数据集的平均ΔMSE均为正，与表3中的平均结果一致。</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2D1C830" w14:textId="77777777" w:rsidR="00B14FA3" w:rsidRPr="00B14FA3" w:rsidRDefault="00B14FA3" w:rsidP="00B14FA3">
      <w:pPr>
        <w:keepNext/>
        <w:spacing w:before="60"/>
        <w:ind w:firstLine="0"/>
        <w:jc w:val="center"/>
      </w:pPr>
      <w:r w:rsidRPr="00B14FA3">
        <w:rPr>
          <w:noProof/>
        </w:rPr>
        <w:drawing>
          <wp:inline distT="0" distB="0" distL="0" distR="0" wp14:anchorId="3E6F0209" wp14:editId="369FDCB1">
            <wp:extent cx="5760720" cy="3852073"/>
            <wp:effectExtent l="0" t="0" r="0" b="9525"/>
            <wp:docPr id="20" name="图片 2" descr="已检查的图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已检查的图像"/>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60720" cy="3852073"/>
                    </a:xfrm>
                    <a:prstGeom prst="rect">
                      <a:avLst/>
                    </a:prstGeom>
                    <a:noFill/>
                    <a:ln>
                      <a:noFill/>
                    </a:ln>
                  </pic:spPr>
                </pic:pic>
              </a:graphicData>
            </a:graphic>
          </wp:inline>
        </w:drawing>
      </w:r>
    </w:p>
    <w:p w14:paraId="64F9B12D" w14:textId="77777777" w:rsidR="00B14FA3" w:rsidRPr="00B14FA3" w:rsidRDefault="00B14FA3" w:rsidP="00B14FA3">
      <w:pPr>
        <w:keepLines/>
        <w:spacing w:before="60" w:after="80"/>
        <w:ind w:firstLine="0"/>
        <w:jc w:val="center"/>
      </w:pPr>
      <w:r>
        <w:rPr>
          <w:rFonts w:eastAsia="黑体"/>
          <w:b/>
          <w:sz w:val="18"/>
          <w:szCs w:val="18"/>
        </w:rPr>
        <w:t>图3 固定等权与自适应权重的八随机种子配对MSE及配对差值分布</w:t>
      </w:r>
      <w:r>
        <w:rPr>
          <w:rFonts w:eastAsia="黑体"/>
          <w:b/>
          <w:sz w:val="18"/>
          <w:szCs w:val="18"/>
        </w:rPr>
      </w:r>
      <w:r>
        <w:rPr>
          <w:rFonts w:eastAsia="黑体"/>
          <w:b/>
          <w:sz w:val="18"/>
          <w:szCs w:val="18"/>
        </w:rPr>
      </w:r>
      <w:r>
        <w:rPr>
          <w:rFonts w:eastAsia="黑体"/>
          <w:b/>
          <w:sz w:val="18"/>
          <w:szCs w:val="18"/>
        </w:rPr>
      </w:r>
    </w:p>
    <w:p w14:paraId="5A0F0016"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2.5 路由权重分析</w:t>
      </w:r>
      <w:r>
        <w:rPr>
          <w:rFonts w:ascii="Arial" w:eastAsia="黑体" w:hAnsi="Arial"/>
          <w:b/>
          <w:bCs/>
          <w:color w:val="000000"/>
          <w:szCs w:val="21"/>
        </w:rPr>
      </w:r>
    </w:p>
    <w:p w14:paraId="0C8325AF" w14:textId="77777777" w:rsidR="00B14FA3" w:rsidRPr="00B14FA3" w:rsidRDefault="00B14FA3" w:rsidP="00B14FA3">
      <w:r>
        <w:rPr>
          <w:color w:val="000000"/>
          <w:szCs w:val="21"/>
        </w:rPr>
        <w:t>图4给出了随机种子42—49下全部测试窗口的尺度权重分布，用于观察路由器在测试阶段对不同时间尺度的分配情况。固定等权模型的3个尺度权重始终为1/3，而本文方法的权重随输入窗口变化，因此可以从分布中看到不同尺度的总体占比。</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jc w:val="center"/>
      </w:pPr>
      <w:r>
        <w:drawing>
          <wp:inline xmlns:a="http://schemas.openxmlformats.org/drawingml/2006/main" xmlns:pic="http://schemas.openxmlformats.org/drawingml/2006/picture">
            <wp:extent cx="5760720" cy="2566165"/>
            <wp:docPr id="22" name="Picture 22"/>
            <wp:cNvGraphicFramePr>
              <a:graphicFrameLocks noChangeAspect="1"/>
            </wp:cNvGraphicFramePr>
            <a:graphic>
              <a:graphicData uri="http://schemas.openxmlformats.org/drawingml/2006/picture">
                <pic:pic>
                  <pic:nvPicPr>
                    <pic:cNvPr id="0" name="fig3_router_weight_distribution_color.png"/>
                    <pic:cNvPicPr/>
                  </pic:nvPicPr>
                  <pic:blipFill>
                    <a:blip r:embed="rId13"/>
                    <a:stretch>
                      <a:fillRect/>
                    </a:stretch>
                  </pic:blipFill>
                  <pic:spPr>
                    <a:xfrm>
                      <a:off x="0" y="0"/>
                      <a:ext cx="5760720" cy="2566165"/>
                    </a:xfrm>
                    <a:prstGeom prst="rect"/>
                  </pic:spPr>
                </pic:pic>
              </a:graphicData>
            </a:graphic>
          </wp:inline>
        </w:drawing>
      </w:r>
    </w:p>
    <w:p>
      <w:pPr>
        <w:keepLines/>
        <w:spacing w:before="60" w:after="80"/>
        <w:ind w:firstLine="0"/>
        <w:jc w:val="center"/>
      </w:pPr>
      <w:r>
        <w:rPr>
          <w:rFonts w:eastAsia="黑体"/>
          <w:b/>
          <w:sz w:val="18"/>
          <w:szCs w:val="18"/>
        </w:rPr>
        <w:t>图4 八随机种子下样本级自适应路由权重分布</w:t>
      </w:r>
    </w:p>
    <w:p>
      <w:pPr/>
      <w:r>
        <w:rPr>
          <w:color w:val="000000"/>
          <w:szCs w:val="21"/>
        </w:rPr>
        <w:t>从图4可以看出，两个数据集的3个尺度并未得到相同权重。Abilene中α1、α2和α4的平均值分别为0.257、0.319和0.424，GÉANT中分别为0.283、0.318和0.399，尺度4的平均权重均最高，尺度1最低。在当前24步预测任务下，较粗时间尺度中的平滑趋势信息占比较大，但尺度1和尺度2仍保留一定权重，用于补充较细粒度的变化信息。</w:t>
      </w:r>
    </w:p>
    <w:p w14:paraId="2B7D35DC" w14:textId="77777777" w:rsidR="00B14FA3" w:rsidRPr="00B14FA3" w:rsidRDefault="00B14FA3" w:rsidP="00B14FA3">
      <w:r>
        <w:rPr>
          <w:color w:val="000000"/>
          <w:szCs w:val="21"/>
        </w:rPr>
        <w:t>结合表2、表3和图2—图4，本文方法在Abilene和GÉANT上的平均预测误差均低于相应对比模型。固定等权消融中，自适应权重在相同多尺度专家基础上继续降低了MSE；图4中3个尺度的权重分布也存在明显差异。两项结果对应表明，路由器并非简单地对多尺度结果做平均，而是在不同输入窗口下改变各尺度的参与程度。</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7D87F862"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ascii="Arial" w:eastAsia="黑体" w:hAnsi="Arial"/>
          <w:b/>
          <w:color w:val="000000"/>
          <w:kern w:val="0"/>
          <w:sz w:val="24"/>
          <w:szCs w:val="20"/>
        </w:rPr>
        <w:t xml:space="preserve">3 </w:t>
      </w:r>
      <w:r w:rsidRPr="00B14FA3">
        <w:rPr>
          <w:rFonts w:ascii="Arial" w:eastAsia="黑体" w:hAnsi="Arial"/>
          <w:b/>
          <w:color w:val="000000"/>
          <w:kern w:val="0"/>
          <w:sz w:val="24"/>
          <w:szCs w:val="20"/>
        </w:rPr>
        <w:t>结论</w:t>
      </w:r>
    </w:p>
    <w:p w14:paraId="6450C208" w14:textId="77777777" w:rsidR="00B14FA3" w:rsidRPr="00B14FA3" w:rsidRDefault="00B14FA3" w:rsidP="00B14FA3">
      <w:r>
        <w:rPr>
          <w:color w:val="000000"/>
          <w:szCs w:val="21"/>
        </w:rPr>
        <w:t>本文研究了骨干网络OD流量的多尺度预测问题，并提出样本级自适应多尺度网络流量预测方法。模型在尺度1、2和4上构造多分辨率序列，由DLinear专家分别预测，再利用轻量路由网络根据输入窗口状态确定尺度权重。Abilene和GÉANT上的实验中，本文方法相对DLinear、LightTS和固定等权多尺度模型均取得了更低的平均预测误差。路由权重结果显示，不同时间尺度在预测中的占比并不相同。该方法仅增加少量参数即可实现多尺度预测结果的动态融合，可用于骨干网络OD流量预测。</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0930A59F"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eastAsia="黑体"/>
          <w:b/>
          <w:kern w:val="0"/>
          <w:sz w:val="28"/>
          <w:szCs w:val="20"/>
        </w:rPr>
        <w:t>参考文献</w:t>
      </w:r>
    </w:p>
    <w:p w14:paraId="2A4E69C7" w14:textId="77777777" w:rsidR="00B14FA3" w:rsidRPr="00B14FA3" w:rsidRDefault="00B14FA3" w:rsidP="00B14FA3">
      <w:pPr>
        <w:ind w:left="420" w:hanging="420"/>
      </w:pPr>
      <w:bookmarkStart w:id="1" w:name="OLE_LINK4"/>
      <w:r w:rsidRPr="00B14FA3">
        <w:rPr>
          <w:sz w:val="18"/>
        </w:rPr>
        <w:t>[1] LOHRASBINASAB I, KESHAVARZ A, AMIN-NEJAD S, et al. From statistical- to machine learning-based network traffic prediction[J]. Transactions on Emerging Telecommunications Technologies, 2022, 33(4): e4394. DOI: 10.1002/ett.4394.</w:t>
      </w:r>
    </w:p>
    <w:p w14:paraId="1D3CC6CB" w14:textId="77777777" w:rsidR="00B14FA3" w:rsidRPr="00B14FA3" w:rsidRDefault="00B14FA3" w:rsidP="00B14FA3">
      <w:pPr>
        <w:ind w:left="420" w:hanging="420"/>
      </w:pPr>
      <w:r w:rsidRPr="00B14FA3">
        <w:rPr>
          <w:sz w:val="18"/>
        </w:rPr>
        <w:t>[2] QIN L, GU H, WEI W, et al. Spatio-temporal communication network traffic prediction method based on graph neural network[J]. Information Sciences, 2024, 679: 121003. DOI: 10.1016/j.ins.2024.121003.</w:t>
      </w:r>
    </w:p>
    <w:p w14:paraId="3FA328DF" w14:textId="77777777" w:rsidR="00B14FA3" w:rsidRPr="00B14FA3" w:rsidRDefault="00B14FA3" w:rsidP="00B14FA3">
      <w:pPr>
        <w:ind w:left="420" w:hanging="420"/>
      </w:pPr>
      <w:r w:rsidRPr="00B14FA3">
        <w:rPr>
          <w:sz w:val="18"/>
        </w:rPr>
        <w:t>[3] ZHOU J, HAN T, XIAO F, et al. Multiscale network traffic prediction method based on deep echo-state network for Internet of Things[J]. IEEE Internet of Things Journal, 2022, 9(21): 21862-21874. DOI: 10.1109/JIOT.2022.3181807.</w:t>
      </w:r>
    </w:p>
    <w:p w14:paraId="7163C5A8" w14:textId="77777777" w:rsidR="00B14FA3" w:rsidRPr="00B14FA3" w:rsidRDefault="00B14FA3" w:rsidP="00B14FA3">
      <w:pPr>
        <w:ind w:left="420" w:hanging="420"/>
      </w:pPr>
      <w:r w:rsidRPr="00B14FA3">
        <w:rPr>
          <w:sz w:val="18"/>
        </w:rPr>
        <w:t>[4] ZENG A, CHEN M, ZHANG L, et al. Are transformers effective for time series forecasting?[C]//Proceedings of the AAAI Conference on Artificial Intelligence. 2023, 37(9): 11121-11128. DOI: 10.1609/aaai.v37i9.26317.</w:t>
      </w:r>
    </w:p>
    <w:p w14:paraId="1BA2A549" w14:textId="77777777" w:rsidR="00B14FA3" w:rsidRPr="00B14FA3" w:rsidRDefault="00B14FA3" w:rsidP="00B14FA3">
      <w:pPr>
        <w:ind w:left="420" w:hanging="420"/>
      </w:pPr>
      <w:r>
        <w:rPr>
          <w:sz w:val="18"/>
        </w:rPr>
        <w:t>[5] WANG S, WU H, SHI X, et al. TimeMixer: decomposable multiscale mixing for time series forecasting[C]//International Conference on Learning Representations. 2024.</w:t>
      </w:r>
    </w:p>
    <w:p w14:paraId="32B65309" w14:textId="77777777" w:rsidR="00B14FA3" w:rsidRPr="00B14FA3" w:rsidRDefault="00B14FA3" w:rsidP="00B14FA3">
      <w:pPr>
        <w:ind w:left="420" w:hanging="420"/>
      </w:pPr>
      <w:r>
        <w:rPr>
          <w:sz w:val="18"/>
        </w:rPr>
        <w:t>[6] ZHANG T, ZHANG Y, CAO W, et al. Less is more: fast multivariate time series forecasting with light sampling-oriented MLP structures[EB/OL]. (2022-07-04)[2026-09-20]. https://arxiv.org/abs/2207.01186. DOI: 10.48550/arXiv.2207.01186.</w:t>
      </w:r>
    </w:p>
    <w:p w14:paraId="32B65309" w14:textId="77777777" w:rsidR="00B14FA3" w:rsidRPr="00B14FA3" w:rsidRDefault="00B14FA3" w:rsidP="00B14FA3">
      <w:pPr>
        <w:ind w:left="420" w:hanging="420"/>
      </w:pPr>
      <w:r>
        <w:rPr>
          <w:sz w:val="18"/>
        </w:rPr>
        <w:t>[7] KUREŠ M, KOUMAR J, HYNEK K. CESNET TS-Zoo: a library for reproducible analysis of network traffic time series[C]//2025 21st International Conference on Network and Service Management. 2025. DOI: 10.23919/CNSM67658.2025.11297513.</w:t>
      </w:r>
    </w:p>
    <w:p w14:paraId="32B65309" w14:textId="77777777" w:rsidR="00B14FA3" w:rsidRPr="00B14FA3" w:rsidRDefault="00B14FA3" w:rsidP="00B14FA3">
      <w:pPr>
        <w:ind w:left="420" w:hanging="420"/>
      </w:pPr>
      <w:r>
        <w:rPr>
          <w:sz w:val="18"/>
        </w:rPr>
        <w:t>[8] ZHANG Y, ROUGHAN M, DUFFIELD N, et al. Fast accurate computation of large-scale IP traffic matrices from link loads[J]. ACM SIGMETRICS Performance Evaluation Review, 2003, 31(1): 206-217. DOI: 10.1145/885651.781053.</w:t>
      </w:r>
    </w:p>
    <w:p w14:paraId="32B65309" w14:textId="77777777" w:rsidR="00B14FA3" w:rsidRPr="00B14FA3" w:rsidRDefault="00B14FA3" w:rsidP="00B14FA3">
      <w:pPr>
        <w:ind w:left="420" w:hanging="420"/>
      </w:pPr>
      <w:r>
        <w:rPr>
          <w:sz w:val="18"/>
        </w:rPr>
        <w:t>[9] UHLIG S, QUOITIN B, LEPROPRE J, et al. Providing public intradomain traffic matrices to the research community[J]. ACM SIGCOMM Computer Communication Review, 2006, 36(1): 83-86. DOI: 10.1145/1111322.1111341.</w:t>
      </w:r>
    </w:p>
    <w:p w14:paraId="49ABA0AF" w14:textId="77777777" w:rsidR="00B14FA3" w:rsidRPr="00B14FA3" w:rsidRDefault="00B14FA3" w:rsidP="00B14FA3">
      <w:pPr>
        <w:ind w:left="420" w:hanging="420"/>
      </w:pPr>
      <w:r>
        <w:rPr>
          <w:sz w:val="18"/>
        </w:rPr>
        <w:t>[10] 韦烜, 刘志华, 李青, 等. 大型IP网络流量矩阵分析预测的探讨研究[J]. 系统工程与电子技术, 2024, 46(6): 2164-2173. DOI: 10.12305/j.issn.1001-506X.2024.06.35.</w:t>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p>
    <w:p w14:paraId="58403822" w14:textId="77777777" w:rsidR="00B14FA3" w:rsidRPr="00B14FA3" w:rsidRDefault="00B14FA3" w:rsidP="00B14FA3">
      <w:pPr>
        <w:ind w:left="420" w:hanging="420"/>
      </w:pPr>
      <w:r>
        <w:rPr>
          <w:sz w:val="18"/>
        </w:rPr>
        <w:t>[11] 唐文杰, 肖一磊, 孔祥宇, 等. CycleLLH：一种基于周期性整合的新型网络流量预测模型[J]. 计算机学报, 2024, 47(12): 2867-2888. DOI: 10.11897/SP.J.1016.2024.02867.</w:t>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p>
    <w:bookmarkEnd w:id="1"/>
    <w:sectPr w:rsidR="003E35DB" w:rsidRPr="00B14FA3" w:rsidSect="00F23B67">
      <w:headerReference w:type="default" r:id="rId9"/>
      <w:footerReference w:type="first" r:id="rId10"/>
      <w:pgSz w:w="11906" w:h="16838"/>
      <w:pgMar w:top="1757" w:right="1134" w:bottom="1417" w:left="1134"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2EBF2" w14:textId="77777777" w:rsidR="00E407AF" w:rsidRDefault="00E407AF" w:rsidP="00F23B67">
      <w:r>
        <w:separator/>
      </w:r>
    </w:p>
  </w:endnote>
  <w:endnote w:type="continuationSeparator" w:id="0">
    <w:p w14:paraId="2C78B4FB" w14:textId="77777777" w:rsidR="00E407AF" w:rsidRDefault="00E407AF" w:rsidP="00F23B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1DB3E" w14:textId="77777777" w:rsidR="00F23B67" w:rsidRDefault="00F23B67">
    <w:pPr>
      <w:jc w:val="left"/>
    </w:pPr>
    <w:r>
      <w:rPr>
        <w:sz w:val="16"/>
      </w:rPr>
      <w:t>收稿日期：</w:t>
    </w:r>
    <w:r>
      <w:rPr>
        <w:sz w:val="16"/>
      </w:rPr>
      <w:t>[</w:t>
    </w:r>
    <w:r>
      <w:rPr>
        <w:sz w:val="16"/>
      </w:rPr>
      <w:t>请填写，格式</w:t>
    </w:r>
    <w:r>
      <w:rPr>
        <w:sz w:val="16"/>
      </w:rPr>
      <w:t>YYYY-MM-DD]</w:t>
    </w:r>
  </w:p>
  <w:p w14:paraId="66649098" w14:textId="77777777" w:rsidR="00F23B67" w:rsidRDefault="00F23B67">
    <w:pPr>
      <w:jc w:val="left"/>
    </w:pPr>
    <w:r>
      <w:rPr>
        <w:sz w:val="16"/>
      </w:rPr>
      <w:t>基金项目：</w:t>
    </w:r>
    <w:r>
      <w:rPr>
        <w:sz w:val="16"/>
      </w:rPr>
      <w:t>[</w:t>
    </w:r>
    <w:r>
      <w:rPr>
        <w:sz w:val="16"/>
      </w:rPr>
      <w:t>基金来源</w:t>
    </w:r>
    <w:r>
      <w:rPr>
        <w:sz w:val="16"/>
      </w:rPr>
      <w:t>]</w:t>
    </w:r>
    <w:r>
      <w:rPr>
        <w:sz w:val="16"/>
      </w:rPr>
      <w:t>（</w:t>
    </w:r>
    <w:r>
      <w:rPr>
        <w:sz w:val="16"/>
      </w:rPr>
      <w:t>[</w:t>
    </w:r>
    <w:r>
      <w:rPr>
        <w:sz w:val="16"/>
      </w:rPr>
      <w:t>基金项目编号</w:t>
    </w:r>
    <w:r>
      <w:rPr>
        <w:sz w:val="16"/>
      </w:rPr>
      <w:t>]</w:t>
    </w:r>
    <w:r>
      <w:rPr>
        <w:sz w:val="16"/>
      </w:rPr>
      <w:t>）</w:t>
    </w:r>
  </w:p>
  <w:p w14:paraId="3B0C0477" w14:textId="77777777" w:rsidR="00F23B67" w:rsidRDefault="00F23B67">
    <w:pPr>
      <w:jc w:val="left"/>
    </w:pPr>
    <w:r>
      <w:rPr>
        <w:sz w:val="16"/>
      </w:rPr>
      <w:t>第一作者简介：</w:t>
    </w:r>
    <w:r>
      <w:rPr>
        <w:sz w:val="16"/>
      </w:rPr>
      <w:t>[</w:t>
    </w:r>
    <w:r>
      <w:rPr>
        <w:sz w:val="16"/>
      </w:rPr>
      <w:t>姓名</w:t>
    </w:r>
    <w:r>
      <w:rPr>
        <w:sz w:val="16"/>
      </w:rPr>
      <w:t>]</w:t>
    </w:r>
    <w:r>
      <w:rPr>
        <w:sz w:val="16"/>
      </w:rPr>
      <w:t>（</w:t>
    </w:r>
    <w:r>
      <w:rPr>
        <w:sz w:val="16"/>
      </w:rPr>
      <w:t>[</w:t>
    </w:r>
    <w:r>
      <w:rPr>
        <w:sz w:val="16"/>
      </w:rPr>
      <w:t>出生年</w:t>
    </w:r>
    <w:r>
      <w:rPr>
        <w:sz w:val="16"/>
      </w:rPr>
      <w:t>]—</w:t>
    </w:r>
    <w:r>
      <w:rPr>
        <w:sz w:val="16"/>
      </w:rPr>
      <w:t>），</w:t>
    </w:r>
    <w:r>
      <w:rPr>
        <w:sz w:val="16"/>
      </w:rPr>
      <w:t>[</w:t>
    </w:r>
    <w:r>
      <w:rPr>
        <w:sz w:val="16"/>
      </w:rPr>
      <w:t>性别（民族，汉族可省略）</w:t>
    </w:r>
    <w:r>
      <w:rPr>
        <w:sz w:val="16"/>
      </w:rPr>
      <w:t>]</w:t>
    </w:r>
    <w:r>
      <w:rPr>
        <w:sz w:val="16"/>
      </w:rPr>
      <w:t>，</w:t>
    </w:r>
    <w:r>
      <w:rPr>
        <w:sz w:val="16"/>
      </w:rPr>
      <w:t>[</w:t>
    </w:r>
    <w:r>
      <w:rPr>
        <w:sz w:val="16"/>
      </w:rPr>
      <w:t>职称</w:t>
    </w:r>
    <w:r>
      <w:rPr>
        <w:sz w:val="16"/>
      </w:rPr>
      <w:t>]</w:t>
    </w:r>
    <w:r>
      <w:rPr>
        <w:sz w:val="16"/>
      </w:rPr>
      <w:t>，</w:t>
    </w:r>
    <w:r>
      <w:rPr>
        <w:sz w:val="16"/>
      </w:rPr>
      <w:t>[</w:t>
    </w:r>
    <w:r>
      <w:rPr>
        <w:sz w:val="16"/>
      </w:rPr>
      <w:t>学位（若在读请注明）</w:t>
    </w:r>
    <w:r>
      <w:rPr>
        <w:sz w:val="16"/>
      </w:rPr>
      <w:t>]</w:t>
    </w:r>
    <w:r>
      <w:rPr>
        <w:sz w:val="16"/>
      </w:rPr>
      <w:t>，研究方向：</w:t>
    </w:r>
    <w:r>
      <w:rPr>
        <w:sz w:val="16"/>
      </w:rPr>
      <w:t>[</w:t>
    </w:r>
    <w:r>
      <w:rPr>
        <w:sz w:val="16"/>
      </w:rPr>
      <w:t>方向</w:t>
    </w:r>
    <w:r>
      <w:rPr>
        <w:sz w:val="16"/>
      </w:rPr>
      <w:t>1]</w:t>
    </w:r>
    <w:r>
      <w:rPr>
        <w:sz w:val="16"/>
      </w:rPr>
      <w:t>；</w:t>
    </w:r>
    <w:r>
      <w:rPr>
        <w:sz w:val="16"/>
      </w:rPr>
      <w:t>[</w:t>
    </w:r>
    <w:r>
      <w:rPr>
        <w:sz w:val="16"/>
      </w:rPr>
      <w:t>方向</w:t>
    </w:r>
    <w:r>
      <w:rPr>
        <w:sz w:val="16"/>
      </w:rPr>
      <w:t>2]</w:t>
    </w:r>
    <w:r>
      <w:rPr>
        <w:sz w:val="16"/>
      </w:rPr>
      <w:t>。</w:t>
    </w:r>
  </w:p>
  <w:p w14:paraId="57141CA0" w14:textId="77777777" w:rsidR="00F23B67" w:rsidRDefault="00F23B67">
    <w:pPr>
      <w:jc w:val="left"/>
    </w:pPr>
    <w:r>
      <w:rPr>
        <w:sz w:val="16"/>
      </w:rPr>
      <w:t>通信作者简介：</w:t>
    </w:r>
    <w:r>
      <w:rPr>
        <w:sz w:val="16"/>
      </w:rPr>
      <w:t>[</w:t>
    </w:r>
    <w:r>
      <w:rPr>
        <w:sz w:val="16"/>
      </w:rPr>
      <w:t>姓名</w:t>
    </w:r>
    <w:r>
      <w:rPr>
        <w:sz w:val="16"/>
      </w:rPr>
      <w:t>]</w:t>
    </w:r>
    <w:r>
      <w:rPr>
        <w:sz w:val="16"/>
      </w:rPr>
      <w:t>（</w:t>
    </w:r>
    <w:r>
      <w:rPr>
        <w:sz w:val="16"/>
      </w:rPr>
      <w:t>[</w:t>
    </w:r>
    <w:r>
      <w:rPr>
        <w:sz w:val="16"/>
      </w:rPr>
      <w:t>出生年</w:t>
    </w:r>
    <w:r>
      <w:rPr>
        <w:sz w:val="16"/>
      </w:rPr>
      <w:t>]—</w:t>
    </w:r>
    <w:r>
      <w:rPr>
        <w:sz w:val="16"/>
      </w:rPr>
      <w:t>），</w:t>
    </w:r>
    <w:r>
      <w:rPr>
        <w:sz w:val="16"/>
      </w:rPr>
      <w:t>[</w:t>
    </w:r>
    <w:r>
      <w:rPr>
        <w:sz w:val="16"/>
      </w:rPr>
      <w:t>性别（民族，汉族可省略）</w:t>
    </w:r>
    <w:r>
      <w:rPr>
        <w:sz w:val="16"/>
      </w:rPr>
      <w:t>]</w:t>
    </w:r>
    <w:r>
      <w:rPr>
        <w:sz w:val="16"/>
      </w:rPr>
      <w:t>，</w:t>
    </w:r>
    <w:r>
      <w:rPr>
        <w:sz w:val="16"/>
      </w:rPr>
      <w:t>[</w:t>
    </w:r>
    <w:r>
      <w:rPr>
        <w:sz w:val="16"/>
      </w:rPr>
      <w:t>职称</w:t>
    </w:r>
    <w:r>
      <w:rPr>
        <w:sz w:val="16"/>
      </w:rPr>
      <w:t>]</w:t>
    </w:r>
    <w:r>
      <w:rPr>
        <w:sz w:val="16"/>
      </w:rPr>
      <w:t>，</w:t>
    </w:r>
    <w:r>
      <w:rPr>
        <w:sz w:val="16"/>
      </w:rPr>
      <w:t>[</w:t>
    </w:r>
    <w:r>
      <w:rPr>
        <w:sz w:val="16"/>
      </w:rPr>
      <w:t>学位（若在读请注明）</w:t>
    </w:r>
    <w:r>
      <w:rPr>
        <w:sz w:val="16"/>
      </w:rPr>
      <w:t>]</w:t>
    </w:r>
    <w:r>
      <w:rPr>
        <w:sz w:val="16"/>
      </w:rPr>
      <w:t>，研究方向：</w:t>
    </w:r>
    <w:r>
      <w:rPr>
        <w:sz w:val="16"/>
      </w:rPr>
      <w:t>[</w:t>
    </w:r>
    <w:r>
      <w:rPr>
        <w:sz w:val="16"/>
      </w:rPr>
      <w:t>方向</w:t>
    </w:r>
    <w:r>
      <w:rPr>
        <w:sz w:val="16"/>
      </w:rPr>
      <w:t>1]</w:t>
    </w:r>
    <w:r>
      <w:rPr>
        <w:sz w:val="16"/>
      </w:rPr>
      <w:t>；</w:t>
    </w:r>
    <w:r>
      <w:rPr>
        <w:sz w:val="16"/>
      </w:rPr>
      <w:t>[</w:t>
    </w:r>
    <w:r>
      <w:rPr>
        <w:sz w:val="16"/>
      </w:rPr>
      <w:t>方向</w:t>
    </w:r>
    <w:r>
      <w:rPr>
        <w:sz w:val="16"/>
      </w:rPr>
      <w:t>2]</w:t>
    </w:r>
    <w:r>
      <w:rPr>
        <w:sz w:val="16"/>
      </w:rPr>
      <w:t>，电子邮箱：</w:t>
    </w:r>
    <w:r>
      <w:rPr>
        <w:sz w:val="16"/>
      </w:rPr>
      <w:t>[</w:t>
    </w:r>
    <w:r>
      <w:rPr>
        <w:sz w:val="16"/>
      </w:rPr>
      <w:t>邮箱</w:t>
    </w:r>
    <w:r>
      <w:rPr>
        <w:sz w:val="16"/>
      </w:rPr>
      <w:t>]</w:t>
    </w:r>
    <w:r>
      <w:rPr>
        <w:sz w:val="16"/>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A2D67" w14:textId="77777777" w:rsidR="00E407AF" w:rsidRDefault="00E407AF" w:rsidP="00F23B67">
      <w:r>
        <w:separator/>
      </w:r>
    </w:p>
  </w:footnote>
  <w:footnote w:type="continuationSeparator" w:id="0">
    <w:p w14:paraId="5084105F" w14:textId="77777777" w:rsidR="00E407AF" w:rsidRDefault="00E407AF" w:rsidP="00F23B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AF2B7" w14:textId="77777777" w:rsidR="00F23B67" w:rsidRDefault="00F23B67">
    <w:pPr>
      <w:pStyle w:val="ae"/>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DC0"/>
    <w:rsid w:val="000376E3"/>
    <w:rsid w:val="00135816"/>
    <w:rsid w:val="00245F58"/>
    <w:rsid w:val="003341C1"/>
    <w:rsid w:val="0034143A"/>
    <w:rsid w:val="003B1B14"/>
    <w:rsid w:val="003E35DB"/>
    <w:rsid w:val="005032D3"/>
    <w:rsid w:val="006309B6"/>
    <w:rsid w:val="00662C25"/>
    <w:rsid w:val="00790E2F"/>
    <w:rsid w:val="009A3654"/>
    <w:rsid w:val="00B10182"/>
    <w:rsid w:val="00B14FA3"/>
    <w:rsid w:val="00B15C9D"/>
    <w:rsid w:val="00D21814"/>
    <w:rsid w:val="00D32DC3"/>
    <w:rsid w:val="00D53327"/>
    <w:rsid w:val="00D537D7"/>
    <w:rsid w:val="00DD4A44"/>
    <w:rsid w:val="00E407AF"/>
    <w:rsid w:val="00EE5DC0"/>
    <w:rsid w:val="00F071B1"/>
    <w:rsid w:val="00F23B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AA87B8"/>
  <w15:chartTrackingRefBased/>
  <w15:docId w15:val="{FA7D5525-0EA2-4C2A-B76F-620764768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23B67"/>
    <w:pPr>
      <w:widowControl w:val="0"/>
      <w:spacing w:after="0" w:line="240" w:lineRule="auto"/>
      <w:ind w:firstLine="420"/>
      <w:jc w:val="both"/>
    </w:pPr>
    <w:rPr>
      <w:rFonts w:ascii="Times New Roman" w:eastAsia="宋体" w:hAnsi="Times New Roman" w:cs="Times New Roman"/>
      <w:sz w:val="21"/>
      <w14:ligatures w14:val="none"/>
    </w:rPr>
  </w:style>
  <w:style w:type="paragraph" w:styleId="1">
    <w:name w:val="heading 1"/>
    <w:basedOn w:val="a"/>
    <w:next w:val="a"/>
    <w:link w:val="10"/>
    <w:uiPriority w:val="9"/>
    <w:qFormat/>
    <w:rsid w:val="00EE5DC0"/>
    <w:pPr>
      <w:keepNext/>
      <w:keepLines/>
      <w:spacing w:before="480" w:after="80" w:line="278" w:lineRule="auto"/>
      <w:ind w:firstLine="0"/>
      <w:jc w:val="left"/>
      <w:outlineLvl w:val="0"/>
    </w:pPr>
    <w:rPr>
      <w:rFonts w:asciiTheme="majorHAnsi" w:eastAsiaTheme="majorEastAsia" w:hAnsiTheme="majorHAnsi" w:cstheme="majorBidi"/>
      <w:color w:val="2F5496" w:themeColor="accent1" w:themeShade="BF"/>
      <w:sz w:val="48"/>
      <w:szCs w:val="48"/>
      <w14:ligatures w14:val="standardContextual"/>
    </w:rPr>
  </w:style>
  <w:style w:type="paragraph" w:styleId="2">
    <w:name w:val="heading 2"/>
    <w:basedOn w:val="a"/>
    <w:next w:val="a"/>
    <w:link w:val="20"/>
    <w:unhideWhenUsed/>
    <w:qFormat/>
    <w:rsid w:val="00EE5DC0"/>
    <w:pPr>
      <w:keepNext/>
      <w:keepLines/>
      <w:spacing w:before="160" w:after="80" w:line="278" w:lineRule="auto"/>
      <w:ind w:firstLine="0"/>
      <w:jc w:val="left"/>
      <w:outlineLvl w:val="1"/>
    </w:pPr>
    <w:rPr>
      <w:rFonts w:asciiTheme="majorHAnsi" w:eastAsiaTheme="majorEastAsia" w:hAnsiTheme="majorHAnsi" w:cstheme="majorBidi"/>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EE5DC0"/>
    <w:pPr>
      <w:keepNext/>
      <w:keepLines/>
      <w:spacing w:before="160" w:after="80" w:line="278" w:lineRule="auto"/>
      <w:ind w:firstLine="0"/>
      <w:jc w:val="left"/>
      <w:outlineLvl w:val="2"/>
    </w:pPr>
    <w:rPr>
      <w:rFonts w:asciiTheme="majorHAnsi" w:eastAsiaTheme="majorEastAsia" w:hAnsiTheme="majorHAnsi" w:cstheme="majorBidi"/>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EE5DC0"/>
    <w:pPr>
      <w:keepNext/>
      <w:keepLines/>
      <w:spacing w:before="80" w:after="40" w:line="278" w:lineRule="auto"/>
      <w:ind w:firstLine="0"/>
      <w:jc w:val="left"/>
      <w:outlineLvl w:val="3"/>
    </w:pPr>
    <w:rPr>
      <w:rFonts w:asciiTheme="minorHAnsi" w:eastAsiaTheme="minorEastAsia" w:hAnsiTheme="minorHAnsi"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EE5DC0"/>
    <w:pPr>
      <w:keepNext/>
      <w:keepLines/>
      <w:spacing w:before="80" w:after="40" w:line="278" w:lineRule="auto"/>
      <w:ind w:firstLine="0"/>
      <w:jc w:val="left"/>
      <w:outlineLvl w:val="4"/>
    </w:pPr>
    <w:rPr>
      <w:rFonts w:asciiTheme="minorHAnsi" w:eastAsiaTheme="minorEastAsia" w:hAnsiTheme="minorHAnsi" w:cstheme="majorBidi"/>
      <w:color w:val="2F5496" w:themeColor="accent1" w:themeShade="BF"/>
      <w:sz w:val="24"/>
      <w14:ligatures w14:val="standardContextual"/>
    </w:rPr>
  </w:style>
  <w:style w:type="paragraph" w:styleId="6">
    <w:name w:val="heading 6"/>
    <w:basedOn w:val="a"/>
    <w:next w:val="a"/>
    <w:link w:val="60"/>
    <w:uiPriority w:val="9"/>
    <w:semiHidden/>
    <w:unhideWhenUsed/>
    <w:qFormat/>
    <w:rsid w:val="00EE5DC0"/>
    <w:pPr>
      <w:keepNext/>
      <w:keepLines/>
      <w:spacing w:before="40" w:line="278" w:lineRule="auto"/>
      <w:ind w:firstLine="0"/>
      <w:jc w:val="left"/>
      <w:outlineLvl w:val="5"/>
    </w:pPr>
    <w:rPr>
      <w:rFonts w:asciiTheme="minorHAnsi" w:eastAsiaTheme="minorEastAsia" w:hAnsiTheme="minorHAnsi" w:cstheme="majorBidi"/>
      <w:b/>
      <w:bCs/>
      <w:color w:val="2F5496" w:themeColor="accent1" w:themeShade="BF"/>
      <w:sz w:val="22"/>
      <w14:ligatures w14:val="standardContextual"/>
    </w:rPr>
  </w:style>
  <w:style w:type="paragraph" w:styleId="7">
    <w:name w:val="heading 7"/>
    <w:basedOn w:val="a"/>
    <w:next w:val="a"/>
    <w:link w:val="70"/>
    <w:uiPriority w:val="9"/>
    <w:semiHidden/>
    <w:unhideWhenUsed/>
    <w:qFormat/>
    <w:rsid w:val="00EE5DC0"/>
    <w:pPr>
      <w:keepNext/>
      <w:keepLines/>
      <w:spacing w:before="40" w:line="278" w:lineRule="auto"/>
      <w:ind w:firstLine="0"/>
      <w:jc w:val="left"/>
      <w:outlineLvl w:val="6"/>
    </w:pPr>
    <w:rPr>
      <w:rFonts w:asciiTheme="minorHAnsi" w:eastAsiaTheme="minorEastAsia" w:hAnsiTheme="minorHAnsi" w:cstheme="majorBidi"/>
      <w:b/>
      <w:bCs/>
      <w:color w:val="595959" w:themeColor="text1" w:themeTint="A6"/>
      <w:sz w:val="22"/>
      <w14:ligatures w14:val="standardContextual"/>
    </w:rPr>
  </w:style>
  <w:style w:type="paragraph" w:styleId="8">
    <w:name w:val="heading 8"/>
    <w:basedOn w:val="a"/>
    <w:next w:val="a"/>
    <w:link w:val="80"/>
    <w:uiPriority w:val="9"/>
    <w:semiHidden/>
    <w:unhideWhenUsed/>
    <w:qFormat/>
    <w:rsid w:val="00EE5DC0"/>
    <w:pPr>
      <w:keepNext/>
      <w:keepLines/>
      <w:spacing w:line="278" w:lineRule="auto"/>
      <w:ind w:firstLine="0"/>
      <w:jc w:val="left"/>
      <w:outlineLvl w:val="7"/>
    </w:pPr>
    <w:rPr>
      <w:rFonts w:asciiTheme="minorHAnsi" w:eastAsiaTheme="minorEastAsia" w:hAnsiTheme="minorHAnsi" w:cstheme="majorBidi"/>
      <w:color w:val="595959" w:themeColor="text1" w:themeTint="A6"/>
      <w:sz w:val="22"/>
      <w14:ligatures w14:val="standardContextual"/>
    </w:rPr>
  </w:style>
  <w:style w:type="paragraph" w:styleId="9">
    <w:name w:val="heading 9"/>
    <w:basedOn w:val="a"/>
    <w:next w:val="a"/>
    <w:link w:val="90"/>
    <w:uiPriority w:val="9"/>
    <w:semiHidden/>
    <w:unhideWhenUsed/>
    <w:qFormat/>
    <w:rsid w:val="00EE5DC0"/>
    <w:pPr>
      <w:keepNext/>
      <w:keepLines/>
      <w:spacing w:line="278" w:lineRule="auto"/>
      <w:ind w:firstLine="0"/>
      <w:jc w:val="left"/>
      <w:outlineLvl w:val="8"/>
    </w:pPr>
    <w:rPr>
      <w:rFonts w:asciiTheme="minorHAnsi" w:eastAsiaTheme="majorEastAsia" w:hAnsiTheme="minorHAnsi" w:cstheme="majorBidi"/>
      <w:color w:val="595959" w:themeColor="text1" w:themeTint="A6"/>
      <w:sz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E5DC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rsid w:val="00EE5DC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E5DC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E5DC0"/>
    <w:rPr>
      <w:rFonts w:cstheme="majorBidi"/>
      <w:color w:val="2F5496" w:themeColor="accent1" w:themeShade="BF"/>
      <w:sz w:val="28"/>
      <w:szCs w:val="28"/>
    </w:rPr>
  </w:style>
  <w:style w:type="character" w:customStyle="1" w:styleId="50">
    <w:name w:val="标题 5 字符"/>
    <w:basedOn w:val="a0"/>
    <w:link w:val="5"/>
    <w:uiPriority w:val="9"/>
    <w:semiHidden/>
    <w:rsid w:val="00EE5DC0"/>
    <w:rPr>
      <w:rFonts w:cstheme="majorBidi"/>
      <w:color w:val="2F5496" w:themeColor="accent1" w:themeShade="BF"/>
      <w:sz w:val="24"/>
    </w:rPr>
  </w:style>
  <w:style w:type="character" w:customStyle="1" w:styleId="60">
    <w:name w:val="标题 6 字符"/>
    <w:basedOn w:val="a0"/>
    <w:link w:val="6"/>
    <w:uiPriority w:val="9"/>
    <w:semiHidden/>
    <w:rsid w:val="00EE5DC0"/>
    <w:rPr>
      <w:rFonts w:cstheme="majorBidi"/>
      <w:b/>
      <w:bCs/>
      <w:color w:val="2F5496" w:themeColor="accent1" w:themeShade="BF"/>
    </w:rPr>
  </w:style>
  <w:style w:type="character" w:customStyle="1" w:styleId="70">
    <w:name w:val="标题 7 字符"/>
    <w:basedOn w:val="a0"/>
    <w:link w:val="7"/>
    <w:uiPriority w:val="9"/>
    <w:semiHidden/>
    <w:rsid w:val="00EE5DC0"/>
    <w:rPr>
      <w:rFonts w:cstheme="majorBidi"/>
      <w:b/>
      <w:bCs/>
      <w:color w:val="595959" w:themeColor="text1" w:themeTint="A6"/>
    </w:rPr>
  </w:style>
  <w:style w:type="character" w:customStyle="1" w:styleId="80">
    <w:name w:val="标题 8 字符"/>
    <w:basedOn w:val="a0"/>
    <w:link w:val="8"/>
    <w:uiPriority w:val="9"/>
    <w:semiHidden/>
    <w:rsid w:val="00EE5DC0"/>
    <w:rPr>
      <w:rFonts w:cstheme="majorBidi"/>
      <w:color w:val="595959" w:themeColor="text1" w:themeTint="A6"/>
    </w:rPr>
  </w:style>
  <w:style w:type="character" w:customStyle="1" w:styleId="90">
    <w:name w:val="标题 9 字符"/>
    <w:basedOn w:val="a0"/>
    <w:link w:val="9"/>
    <w:uiPriority w:val="9"/>
    <w:semiHidden/>
    <w:rsid w:val="00EE5DC0"/>
    <w:rPr>
      <w:rFonts w:eastAsiaTheme="majorEastAsia" w:cstheme="majorBidi"/>
      <w:color w:val="595959" w:themeColor="text1" w:themeTint="A6"/>
    </w:rPr>
  </w:style>
  <w:style w:type="paragraph" w:styleId="a3">
    <w:name w:val="Title"/>
    <w:basedOn w:val="a"/>
    <w:next w:val="a"/>
    <w:link w:val="a4"/>
    <w:uiPriority w:val="10"/>
    <w:qFormat/>
    <w:rsid w:val="00EE5DC0"/>
    <w:pPr>
      <w:spacing w:after="80"/>
      <w:ind w:firstLine="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EE5DC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E5DC0"/>
    <w:pPr>
      <w:numPr>
        <w:ilvl w:val="1"/>
      </w:numPr>
      <w:spacing w:after="160" w:line="278" w:lineRule="auto"/>
      <w:ind w:firstLine="420"/>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EE5DC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E5DC0"/>
    <w:pPr>
      <w:spacing w:before="160" w:after="160" w:line="278" w:lineRule="auto"/>
      <w:ind w:firstLine="0"/>
      <w:jc w:val="center"/>
    </w:pPr>
    <w:rPr>
      <w:rFonts w:asciiTheme="minorHAnsi" w:eastAsiaTheme="minorEastAsia" w:hAnsiTheme="minorHAnsi" w:cstheme="minorBidi"/>
      <w:i/>
      <w:iCs/>
      <w:color w:val="404040" w:themeColor="text1" w:themeTint="BF"/>
      <w:sz w:val="22"/>
      <w14:ligatures w14:val="standardContextual"/>
    </w:rPr>
  </w:style>
  <w:style w:type="character" w:customStyle="1" w:styleId="a8">
    <w:name w:val="引用 字符"/>
    <w:basedOn w:val="a0"/>
    <w:link w:val="a7"/>
    <w:uiPriority w:val="29"/>
    <w:rsid w:val="00EE5DC0"/>
    <w:rPr>
      <w:i/>
      <w:iCs/>
      <w:color w:val="404040" w:themeColor="text1" w:themeTint="BF"/>
    </w:rPr>
  </w:style>
  <w:style w:type="paragraph" w:styleId="a9">
    <w:name w:val="List Paragraph"/>
    <w:basedOn w:val="a"/>
    <w:uiPriority w:val="34"/>
    <w:qFormat/>
    <w:rsid w:val="00EE5DC0"/>
    <w:pPr>
      <w:spacing w:after="160" w:line="278" w:lineRule="auto"/>
      <w:ind w:left="720" w:firstLine="0"/>
      <w:contextualSpacing/>
      <w:jc w:val="left"/>
    </w:pPr>
    <w:rPr>
      <w:rFonts w:asciiTheme="minorHAnsi" w:eastAsiaTheme="minorEastAsia" w:hAnsiTheme="minorHAnsi" w:cstheme="minorBidi"/>
      <w:sz w:val="22"/>
      <w14:ligatures w14:val="standardContextual"/>
    </w:rPr>
  </w:style>
  <w:style w:type="character" w:styleId="aa">
    <w:name w:val="Intense Emphasis"/>
    <w:basedOn w:val="a0"/>
    <w:uiPriority w:val="21"/>
    <w:qFormat/>
    <w:rsid w:val="00EE5DC0"/>
    <w:rPr>
      <w:i/>
      <w:iCs/>
      <w:color w:val="2F5496" w:themeColor="accent1" w:themeShade="BF"/>
    </w:rPr>
  </w:style>
  <w:style w:type="paragraph" w:styleId="ab">
    <w:name w:val="Intense Quote"/>
    <w:basedOn w:val="a"/>
    <w:next w:val="a"/>
    <w:link w:val="ac"/>
    <w:uiPriority w:val="30"/>
    <w:qFormat/>
    <w:rsid w:val="00EE5DC0"/>
    <w:pPr>
      <w:pBdr>
        <w:top w:val="single" w:sz="4" w:space="10" w:color="2F5496" w:themeColor="accent1" w:themeShade="BF"/>
        <w:bottom w:val="single" w:sz="4" w:space="10" w:color="2F5496" w:themeColor="accent1" w:themeShade="BF"/>
      </w:pBdr>
      <w:spacing w:before="360" w:after="360" w:line="278" w:lineRule="auto"/>
      <w:ind w:left="864" w:right="864" w:firstLine="0"/>
      <w:jc w:val="center"/>
    </w:pPr>
    <w:rPr>
      <w:rFonts w:asciiTheme="minorHAnsi" w:eastAsiaTheme="minorEastAsia" w:hAnsiTheme="minorHAnsi" w:cstheme="minorBidi"/>
      <w:i/>
      <w:iCs/>
      <w:color w:val="2F5496" w:themeColor="accent1" w:themeShade="BF"/>
      <w:sz w:val="22"/>
      <w14:ligatures w14:val="standardContextual"/>
    </w:rPr>
  </w:style>
  <w:style w:type="character" w:customStyle="1" w:styleId="ac">
    <w:name w:val="明显引用 字符"/>
    <w:basedOn w:val="a0"/>
    <w:link w:val="ab"/>
    <w:uiPriority w:val="30"/>
    <w:rsid w:val="00EE5DC0"/>
    <w:rPr>
      <w:i/>
      <w:iCs/>
      <w:color w:val="2F5496" w:themeColor="accent1" w:themeShade="BF"/>
    </w:rPr>
  </w:style>
  <w:style w:type="character" w:styleId="ad">
    <w:name w:val="Intense Reference"/>
    <w:basedOn w:val="a0"/>
    <w:uiPriority w:val="32"/>
    <w:qFormat/>
    <w:rsid w:val="00EE5DC0"/>
    <w:rPr>
      <w:b/>
      <w:bCs/>
      <w:smallCaps/>
      <w:color w:val="2F5496" w:themeColor="accent1" w:themeShade="BF"/>
      <w:spacing w:val="5"/>
    </w:rPr>
  </w:style>
  <w:style w:type="paragraph" w:styleId="ae">
    <w:name w:val="header"/>
    <w:basedOn w:val="a"/>
    <w:link w:val="af"/>
    <w:unhideWhenUsed/>
    <w:rsid w:val="00F23B67"/>
    <w:pPr>
      <w:tabs>
        <w:tab w:val="center" w:pos="4153"/>
        <w:tab w:val="right" w:pos="8306"/>
      </w:tabs>
      <w:snapToGrid w:val="0"/>
      <w:spacing w:after="160"/>
      <w:ind w:firstLine="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0"/>
    <w:link w:val="ae"/>
    <w:rsid w:val="00F23B67"/>
    <w:rPr>
      <w:sz w:val="18"/>
      <w:szCs w:val="18"/>
    </w:rPr>
  </w:style>
  <w:style w:type="paragraph" w:styleId="af0">
    <w:name w:val="footer"/>
    <w:basedOn w:val="a"/>
    <w:link w:val="af1"/>
    <w:uiPriority w:val="99"/>
    <w:unhideWhenUsed/>
    <w:rsid w:val="00F23B67"/>
    <w:pPr>
      <w:tabs>
        <w:tab w:val="center" w:pos="4153"/>
        <w:tab w:val="right" w:pos="8306"/>
      </w:tabs>
      <w:snapToGrid w:val="0"/>
      <w:spacing w:after="160"/>
      <w:ind w:firstLine="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0"/>
    <w:link w:val="af0"/>
    <w:uiPriority w:val="99"/>
    <w:rsid w:val="00F23B67"/>
    <w:rPr>
      <w:sz w:val="18"/>
      <w:szCs w:val="18"/>
    </w:rPr>
  </w:style>
  <w:style w:type="paragraph" w:customStyle="1" w:styleId="11">
    <w:name w:val="标题 11"/>
    <w:rsid w:val="00F23B67"/>
    <w:pPr>
      <w:keepNext/>
      <w:spacing w:before="120" w:after="40" w:line="240" w:lineRule="auto"/>
    </w:pPr>
    <w:rPr>
      <w:rFonts w:ascii="Times New Roman" w:eastAsia="黑体" w:hAnsi="Times New Roman" w:cs="Times New Roman"/>
      <w:b/>
      <w:kern w:val="0"/>
      <w:sz w:val="28"/>
      <w:szCs w:val="20"/>
      <w14:ligatures w14:val="none"/>
    </w:rPr>
  </w:style>
  <w:style w:type="paragraph" w:customStyle="1" w:styleId="Equation">
    <w:name w:val="Equation"/>
    <w:rsid w:val="00F23B67"/>
    <w:pPr>
      <w:keepLines/>
      <w:spacing w:before="40" w:after="40" w:line="240" w:lineRule="auto"/>
    </w:pPr>
    <w:rPr>
      <w:rFonts w:ascii="Cambria Math" w:eastAsia="Cambria Math" w:hAnsi="Cambria Math" w:cs="Times New Roman"/>
      <w:kern w:val="0"/>
      <w:sz w:val="21"/>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481</TotalTime>
  <Pages>4</Pages>
  <Words>1601</Words>
  <Characters>9127</Characters>
  <Application>Microsoft Office Word</Application>
  <DocSecurity>0</DocSecurity>
  <Lines>76</Lines>
  <Paragraphs>21</Paragraphs>
  <ScaleCrop>false</ScaleCrop>
  <Company/>
  <LinksUpToDate>false</LinksUpToDate>
  <CharactersWithSpaces>10707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Wonderland</dc:creator>
  <cp:keywords/>
  <dc:description/>
  <cp:lastModifiedBy>Alice Wonderland</cp:lastModifiedBy>
  <cp:revision>1</cp:revision>
  <dcterms:created xsi:type="dcterms:W3CDTF">2026-09-15T14:23:00Z</dcterms:created>
  <dcterms:modified xsi:type="dcterms:W3CDTF">2026-09-20T12:33:00Z</dcterms:modified>
</cp:coreProperties>
</file>