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2。图2上排保留随机种子42—49的逐一配对MSE，下排以ΔMSE=固定等权−自适应权重表示效应方向。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pPr>
        <w:spacing w:before="0" w:after="60" w:line="240" w:lineRule="auto"/>
        <w:jc w:val="left"/>
      </w:pPr>
      <w:r>
        <w:rPr>
          <w:rFonts w:ascii="Times New Roman" w:hAnsi="Times New Roman" w:eastAsia="宋体"/>
          <w:sz w:val="15"/>
        </w:rPr>
        <w:t>注：a为Abilene，b为GÉANT。上排灰线连接同一随机种子下的固定等权与自适应权重结果，黑色菱形及误差线表示均值±标准差；下排圆点为各随机种子的ΔMSE，半小提琴表示配对差值的核密度分布，黑色圆点及误差线表示平均ΔMSE及其95%置信区间。ΔMSE&gt;0表示自适应权重模型的MSE更低。</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为观察样本级路由器是否退化为固定平均融合，图</w:t>
      </w:r>
      <w:r>
        <w:rPr>
          <w:color w:val="000000"/>
          <w:szCs w:val="21"/>
        </w:rPr>
        <w:t>3</w:t>
      </w:r>
      <w:r>
        <w:rPr>
          <w:color w:val="000000"/>
          <w:szCs w:val="21"/>
        </w:rPr>
        <w:t>固定选取随机种子</w:t>
      </w:r>
      <w:r>
        <w:rPr>
          <w:color w:val="000000"/>
          <w:szCs w:val="21"/>
        </w:rPr>
        <w:t>42</w:t>
      </w:r>
      <w:r>
        <w:rPr>
          <w:color w:val="000000"/>
          <w:szCs w:val="21"/>
        </w:rPr>
        <w:t>，并展示两个数据集测试集前</w:t>
      </w:r>
      <w:r>
        <w:rPr>
          <w:color w:val="000000"/>
          <w:szCs w:val="21"/>
        </w:rPr>
        <w:t>150</w:t>
      </w:r>
      <w:r>
        <w:rPr>
          <w:color w:val="000000"/>
          <w:szCs w:val="21"/>
        </w:rPr>
        <w:t>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图3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w:t>
      </w:r>
      <w:r>
        <w:rPr>
          <w:color w:val="000000"/>
          <w:szCs w:val="21"/>
        </w:rPr>
        <w:t>3</w:t>
      </w:r>
      <w:r>
        <w:rPr>
          <w:color w:val="000000"/>
          <w:szCs w:val="21"/>
        </w:rPr>
        <w:t>中三个尺度权重均随测试窗口发生变化，并未长期固定在</w:t>
      </w:r>
      <w:r>
        <w:rPr>
          <w:color w:val="000000"/>
          <w:szCs w:val="21"/>
        </w:rPr>
        <w:t>1/3</w:t>
      </w:r>
      <w:r>
        <w:rPr>
          <w:color w:val="000000"/>
          <w:szCs w:val="21"/>
        </w:rPr>
        <w:t>附近，说明路由器能够依据输入窗口统计状态动态调整尺度组合。以随机种子</w:t>
      </w:r>
      <w:r>
        <w:rPr>
          <w:color w:val="000000"/>
          <w:szCs w:val="21"/>
        </w:rPr>
        <w:t>42</w:t>
      </w:r>
      <w:r>
        <w:rPr>
          <w:color w:val="000000"/>
          <w:szCs w:val="21"/>
        </w:rPr>
        <w:t>为例，两数据集均表现出较明显的尺度偏好变化；但不同随机种子的平均权重并不完全一致，因此不能将某一尺度解释为所有网络场景下持续占优的固定尺度。</w:t>
      </w:r>
    </w:p>
    <w:p w14:paraId="2B7D35DC" w14:textId="77777777" w:rsidR="00B14FA3" w:rsidRPr="00B14FA3" w:rsidRDefault="00B14FA3" w:rsidP="00B14FA3">
      <w:r>
        <w:rPr>
          <w:color w:val="000000"/>
          <w:szCs w:val="21"/>
        </w:rPr>
        <w:t>综合表</w:t>
      </w:r>
      <w:r>
        <w:rPr>
          <w:color w:val="000000"/>
          <w:szCs w:val="21"/>
        </w:rPr>
        <w:t>2</w:t>
      </w:r>
      <w:r>
        <w:rPr>
          <w:color w:val="000000"/>
          <w:szCs w:val="21"/>
        </w:rPr>
        <w:t>、表</w:t>
      </w:r>
      <w:r>
        <w:rPr>
          <w:color w:val="000000"/>
          <w:szCs w:val="21"/>
        </w:rPr>
        <w:t>3</w:t>
      </w:r>
      <w:r>
        <w:rPr>
          <w:color w:val="000000"/>
          <w:szCs w:val="21"/>
        </w:rPr>
        <w:t>和图</w:t>
      </w:r>
      <w:r>
        <w:rPr>
          <w:color w:val="000000"/>
          <w:szCs w:val="21"/>
        </w:rPr>
        <w:t>2</w:t>
      </w:r>
      <w:r>
        <w:rPr>
          <w:color w:val="000000"/>
          <w:szCs w:val="21"/>
        </w:rPr>
        <w:t>可见，样本级自适应尺度加权的平均收益已在</w:t>
      </w:r>
      <w:r>
        <w:rPr>
          <w:color w:val="000000"/>
          <w:szCs w:val="21"/>
        </w:rPr>
        <w:t>Abilene</w:t>
      </w:r>
      <w:r>
        <w:rPr>
          <w:color w:val="000000"/>
          <w:szCs w:val="21"/>
        </w:rPr>
        <w:t>和</w:t>
      </w:r>
      <w:r>
        <w:rPr>
          <w:color w:val="000000"/>
          <w:szCs w:val="21"/>
        </w:rPr>
        <w:t>GÉANT</w:t>
      </w:r>
      <w:r>
        <w:rPr>
          <w:color w:val="000000"/>
          <w:szCs w:val="21"/>
        </w:rPr>
        <w:t>两个骨干网数据集上得到验证，但</w:t>
      </w:r>
      <w:r>
        <w:rPr>
          <w:color w:val="000000"/>
          <w:szCs w:val="21"/>
        </w:rPr>
        <w:t>GÉANT</w:t>
      </w:r>
      <w:r>
        <w:rPr>
          <w:color w:val="000000"/>
          <w:szCs w:val="21"/>
        </w:rPr>
        <w:t>上的跨种子方差更大，稳定性仍有提升空间。当前实验仅考察</w:t>
      </w:r>
      <w:r>
        <w:rPr>
          <w:color w:val="000000"/>
          <w:szCs w:val="21"/>
        </w:rPr>
        <w:t>L=96</w:t>
      </w:r>
      <w:r>
        <w:rPr>
          <w:color w:val="000000"/>
          <w:szCs w:val="21"/>
        </w:rPr>
        <w:t>、</w:t>
      </w:r>
      <w:r>
        <w:rPr>
          <w:color w:val="000000"/>
          <w:szCs w:val="21"/>
        </w:rPr>
        <w:t>H=24</w:t>
      </w:r>
      <w:r>
        <w:rPr>
          <w:color w:val="000000"/>
          <w:szCs w:val="21"/>
        </w:rPr>
        <w:t>的单一预测设置，未显式建模网络拓扑，外部模型也仅包含</w:t>
      </w:r>
      <w:r>
        <w:rPr>
          <w:color w:val="000000"/>
          <w:szCs w:val="21"/>
        </w:rPr>
        <w:t>LightTS</w:t>
      </w:r>
      <w:r>
        <w:rPr>
          <w:color w:val="000000"/>
          <w:szCs w:val="21"/>
        </w:rPr>
        <w:t>一种轻量基线；同时，本文</w:t>
      </w:r>
      <w:r>
        <w:rPr>
          <w:color w:val="000000"/>
          <w:szCs w:val="21"/>
        </w:rPr>
        <w:t>“</w:t>
      </w:r>
      <w:r>
        <w:rPr>
          <w:color w:val="000000"/>
          <w:szCs w:val="21"/>
        </w:rPr>
        <w:t>轻量</w:t>
      </w:r>
      <w:r>
        <w:rPr>
          <w:color w:val="000000"/>
          <w:szCs w:val="21"/>
        </w:rPr>
        <w:t>”</w:t>
      </w:r>
      <w:r>
        <w:rPr>
          <w:color w:val="000000"/>
          <w:szCs w:val="21"/>
        </w:rPr>
        <w:t>主要指参数规模，而非训练时间最短。因此，后续仍需在更多网络、预测长度和拓扑约束条件下进一步检验泛化性。</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在</w:t>
      </w:r>
      <w:r>
        <w:rPr>
          <w:color w:val="000000"/>
          <w:szCs w:val="21"/>
        </w:rPr>
        <w:t>Abilene</w:t>
      </w:r>
      <w:r>
        <w:rPr>
          <w:color w:val="000000"/>
          <w:szCs w:val="21"/>
        </w:rPr>
        <w:t>和</w:t>
      </w:r>
      <w:r>
        <w:rPr>
          <w:color w:val="000000"/>
          <w:szCs w:val="21"/>
        </w:rPr>
        <w:t>GÉANT</w:t>
      </w:r>
      <w:r>
        <w:rPr>
          <w:color w:val="000000"/>
          <w:szCs w:val="21"/>
        </w:rPr>
        <w:t>上的实验表明，样本级自适应多尺度加权可在较小参数增量下改善固定等权融合，并降低相对</w:t>
      </w:r>
      <w:r>
        <w:rPr>
          <w:color w:val="000000"/>
          <w:szCs w:val="21"/>
        </w:rPr>
        <w:t>DLinear</w:t>
      </w:r>
      <w:r>
        <w:rPr>
          <w:color w:val="000000"/>
          <w:szCs w:val="21"/>
        </w:rPr>
        <w:t>和</w:t>
      </w:r>
      <w:r>
        <w:rPr>
          <w:color w:val="000000"/>
          <w:szCs w:val="21"/>
        </w:rPr>
        <w:t>LightTS</w:t>
      </w:r>
      <w:r>
        <w:rPr>
          <w:color w:val="000000"/>
          <w:szCs w:val="21"/>
        </w:rPr>
        <w:t>的平均预测误差；但</w:t>
      </w:r>
      <w:r>
        <w:rPr>
          <w:color w:val="000000"/>
          <w:szCs w:val="21"/>
        </w:rPr>
        <w:t>GÉANT</w:t>
      </w:r>
      <w:r>
        <w:rPr>
          <w:color w:val="000000"/>
          <w:szCs w:val="21"/>
        </w:rPr>
        <w:t>跨种子波动较大。后续将扩展更多网络、预测长度及拓扑约束，以进一步检验稳定性与泛化能力。</w:t>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