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ind w:firstLine="0"/>
        <w:jc w:val="center"/>
      </w:pPr>
      <w:bookmarkStart w:id="0" w:name="OLE_LINK1"/>
      <w:r w:rsidRPr="00B14FA3">
        <w:rPr>
          <w:rFonts w:ascii="Arial" w:eastAsia="黑体" w:hAnsi="Arial" w:cs="Arial"/>
          <w:b/>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pPr>
      <w:r w:rsidRPr="00B14FA3">
        <w:rPr>
          <w:rFonts w:ascii="楷体" w:eastAsia="楷体" w:hAnsi="楷体" w:cs="楷体"/>
          <w:color w:val="000000"/>
          <w:szCs w:val="21"/>
        </w:rPr>
        <w:t>[请填写作者姓名]</w:t>
      </w:r>
    </w:p>
    <w:p w14:paraId="233E4490" w14:textId="77777777" w:rsidR="00B14FA3" w:rsidRPr="00B14FA3" w:rsidRDefault="00B14FA3" w:rsidP="00B14FA3">
      <w:pPr>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26D8FFD6" w14:textId="77777777" w:rsidR="00B14FA3" w:rsidRPr="00B14FA3" w:rsidRDefault="00B14FA3" w:rsidP="00B14FA3">
      <w:r>
        <w:rPr>
          <w:b/>
          <w:bCs/>
          <w:color w:val="000000"/>
        </w:rPr>
        <w:t>摘要：骨干网络中的源—目的节点对流量随时间持续变化，同一序列中既能观察到短时起伏，也存在突发变化和较慢的趋势成分。若始终在单一时间分辨率上进行预测，不同流量状态下的信息利用会受到限制。基于这一问题，本文构建样本级自适应多尺度预测方法。尺度1、2和4的序列由非重叠平均池化得到，并分别交由DLinear专家处理；输入窗口的均值、标准差、末时刻均值和平均绝对一阶差分用于生成Softmax尺度权重，再据此组合3个尺度的预测结果。实验采用Abilene和GÉANT两个骨干网流量数据集。3个共同随机种子下，所提方法的MSE相对DLinear分别降低4.06%和4.43%，相对LightTS分别降低29.89%和46.83%；8个随机种子的消融实验中，相对固定等权融合分别降低1.67%和4.68%。从两个数据集的结果看，在参数只小幅增加的情况下，按样本调整尺度权重能够降低平均预测误差。</w:t>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p>
    <w:p w14:paraId="6DDB7F12" w14:textId="77777777" w:rsidR="00B14FA3" w:rsidRPr="00B14FA3" w:rsidRDefault="00B14FA3" w:rsidP="00B14FA3">
      <w:pPr>
        <w:ind w:firstLine="0"/>
      </w:pPr>
      <w:r>
        <w:rPr>
          <w:rFonts w:eastAsia="黑体"/>
          <w:b/>
        </w:rPr>
        <w:t>关键词：</w:t>
      </w:r>
      <w:r>
        <w:t>网络流量预测；多变量时间序列；多尺度学习；自适应加权；</w:t>
      </w:r>
      <w:r>
        <w:t>DLinear</w:t>
      </w:r>
    </w:p>
    <w:p w14:paraId="18A6B693" w14:textId="77777777" w:rsidR="00B14FA3" w:rsidRPr="00B14FA3" w:rsidRDefault="00B14FA3" w:rsidP="00B14FA3">
      <w:pPr>
        <w:ind w:firstLine="0"/>
      </w:pPr>
      <w:r w:rsidRPr="00B14FA3">
        <w:rPr>
          <w:rFonts w:eastAsia="黑体"/>
          <w:b/>
        </w:rPr>
        <w:t>中图分类号：</w:t>
      </w:r>
      <w:r w:rsidRPr="00B14FA3">
        <w:t>TP393</w:t>
      </w:r>
      <w:r w:rsidRPr="00B14FA3">
        <w:t xml:space="preserve">　　</w:t>
      </w:r>
      <w:r w:rsidRPr="00B14FA3">
        <w:rPr>
          <w:rFonts w:eastAsia="黑体"/>
          <w:b/>
        </w:rPr>
        <w:t>文献标志码：</w:t>
      </w:r>
      <w:r w:rsidRPr="00B14FA3">
        <w:t>A</w:t>
      </w:r>
    </w:p>
    <w:p w14:paraId="4EB6E192" w14:textId="77777777" w:rsidR="00B14FA3" w:rsidRPr="00B14FA3" w:rsidRDefault="00B14FA3" w:rsidP="00B14FA3">
      <w:pPr>
        <w:spacing w:after="60"/>
        <w:ind w:firstLine="0"/>
        <w:jc w:val="center"/>
      </w:pPr>
      <w:r w:rsidRPr="00B14FA3">
        <w:rPr>
          <w:rFonts w:eastAsia="黑体"/>
          <w:b/>
          <w:sz w:val="28"/>
        </w:rPr>
        <w:t>A Multivariate Network Traffic Forecasting Method Based on Adaptive Multiscale Weighting</w:t>
      </w:r>
    </w:p>
    <w:p w14:paraId="58F87268" w14:textId="77777777" w:rsidR="00B14FA3" w:rsidRPr="00B14FA3" w:rsidRDefault="00B14FA3" w:rsidP="00B14FA3">
      <w:pPr>
        <w:ind w:firstLine="0"/>
        <w:jc w:val="center"/>
      </w:pPr>
      <w:r w:rsidRPr="00B14FA3">
        <w:t>[Author Name]</w:t>
      </w:r>
    </w:p>
    <w:p w14:paraId="4E49EDDA" w14:textId="77777777" w:rsidR="00B14FA3" w:rsidRPr="00B14FA3" w:rsidRDefault="00B14FA3" w:rsidP="00B14FA3">
      <w:pPr>
        <w:jc w:val="center"/>
      </w:pPr>
      <w:r w:rsidRPr="00B14FA3">
        <w:t>([Affiliation] [Department], [City] [Postcode], China; Corresponding author: [Name], E-mail: [E-mail])</w:t>
      </w:r>
    </w:p>
    <w:p w14:paraId="05369785" w14:textId="77777777" w:rsidR="00B14FA3" w:rsidRPr="00B14FA3" w:rsidRDefault="00B14FA3" w:rsidP="00B14FA3">
      <w:r>
        <w:rPr>
          <w:rFonts w:eastAsia="Times New Roman"/>
          <w:b/>
          <w:bCs/>
          <w:color w:val="000000"/>
        </w:rPr>
        <w:t>Abstract: Backbone origin-destination (OD) traffic does not evolve at a single temporal pace. Short-term fluctuations, abrupt changes, and slower trends may appear in the same traffic sequence, whereas a fixed-scale model always uses one temporal resolution. A sample-wise adaptive multiscale forecasting method is therefore proposed. Non-overlapping average pooling at scales 1, 2, and 4 is applied to obtain multiresolution sequences, which are processed by separate DLinear experts. The mean, standard deviation, latest-step mean, and mean absolute first difference of each input window are also extracted and fed into a lightweight routing network. Softmax weights produced by the router are used to combine the three forecasts. Experiments are carried out on the Abilene and GÉANT backbone traffic datasets. With three common random seeds, the proposed method reduces MSE by 4.06% and 4.43% compared with DLinear and by 29.89% and 46.83% compared with LightTS. In the eight-seed ablation experiment, the MSE reductions over fixed equal weighting are 1.67% and 4.68%, respectively. The results on both datasets show that the relative contribution of different temporal scales can be adjusted for each input sample with only a small increase in model parameters.</w:t>
      </w:r>
      <w:r>
        <w:rPr>
          <w:rFonts w:eastAsia="Times New Roman"/>
          <w:color w:val="000000"/>
        </w:rPr>
      </w:r>
    </w:p>
    <w:p w14:paraId="1A5F7C32" w14:textId="77777777" w:rsidR="00B14FA3" w:rsidRPr="00B14FA3" w:rsidRDefault="00B14FA3" w:rsidP="00B14FA3">
      <w:pPr>
        <w:ind w:firstLine="0"/>
      </w:pPr>
      <w:r>
        <w:rPr>
          <w:rFonts w:eastAsia="Times New Roman"/>
          <w:b/>
          <w:bCs/>
          <w:color w:val="000000"/>
        </w:rPr>
        <w:t xml:space="preserve">Key words: </w:t>
      </w:r>
      <w:r>
        <w:rPr>
          <w:rFonts w:eastAsia="Times New Roman"/>
          <w:color w:val="000000"/>
        </w:rPr>
        <w:t>network traffic forecasting; multivariate time series; multiscale learning; adaptive weighting; DLinear</w:t>
      </w:r>
    </w:p>
    <w:p w14:paraId="5C2C4A73" w14:textId="77777777" w:rsidR="00B14FA3" w:rsidRPr="00B14FA3" w:rsidRDefault="00B14FA3" w:rsidP="00B14FA3">
      <w:pPr>
        <w:rPr>
          <w:color w:val="000000"/>
        </w:rPr>
      </w:pPr>
    </w:p>
    <w:p w14:paraId="2A311823" w14:textId="77777777" w:rsidR="00B14FA3" w:rsidRPr="00B14FA3" w:rsidRDefault="00B14FA3" w:rsidP="00B14FA3">
      <w:pPr>
        <w:rPr>
          <w:color w:val="000000"/>
        </w:rPr>
      </w:pPr>
      <w:r>
        <w:rPr>
          <w:color w:val="000000"/>
          <w:szCs w:val="21"/>
        </w:rPr>
        <w:t>云计算、视频业务、数据中心互联及智能网络应用持续扩展后，骨干网络中的流量规模随之上升，业务变化也更难用单一模式概括。源—目的节点对（origin-destination，OD）流量既可能呈现较稳定的周期变化，也会在局部时间段内出现明显波动。对网络管理而言，后一时段OD流量若能被提前估计，容量规划、拥塞预警、资源调度和流量工程就可以获得更直接的数据参考。由此，预测模型除了要描述较长时间范围内的变化，还需要保留对局部波动的刻画。</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网络流量预测早期多采用统计模型，随后机器学习和深度学习方法逐渐进入这一任务。Lohrasbinasab等[1]系统梳理了网络流量预测方法的发展。Qin等[2]在通信网络流量预测中引入图神经网络，同时考虑空间关联和时间依赖；韦烜等[10]围绕大型IP网络流量矩阵开展分析与预测，讨论了OD变量关联对预测结果的影响。针对具有周期性的流量序列，唐文杰等[11]提出CycleLLH模型，将周期信息纳入预测。现有工作已经从时间变化、变量关联和周期规律等不同方面展开研究。</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同一段网络流量在不同时间分辨率下呈现出的信息并不相同。原始分辨率更容易保留局部起伏，经过时间聚合后，一部分短时扰动被削弱，较慢的变化趋势会更清楚。Zhou等[3]利用深度回声状态网络开展多尺度网络流量预测；DLinear[4]采用时间序列分解和线性映射完成预测；TimeMixer[5]通过多尺度混合机制处理不同分辨率序列；LightTS[6]则使用采样导向的MLP结构进行快速多变量时间序列预测。已有方法说明，多时间尺度信息和轻量预测结构可以在同一预测框架中结合。</w:t>
      </w:r>
    </w:p>
    <w:p w14:paraId="65582279" w14:textId="77777777" w:rsidR="00B14FA3" w:rsidRPr="00B14FA3" w:rsidRDefault="00B14FA3" w:rsidP="00B14FA3">
      <w:pPr>
        <w:rPr>
          <w:color w:val="000000"/>
        </w:rPr>
      </w:pPr>
      <w:r>
        <w:rPr>
          <w:color w:val="000000"/>
          <w:szCs w:val="21"/>
        </w:rPr>
        <w:t>实际流量序列中，各输入窗口的状态差异较大：有的窗口短时波动明显，有的窗口则主要呈现较平缓的趋势。于是，尺度1、2和4在不同窗口中的作用也不必始终相同。固定尺度或固定融合比例无法随这种差异改变。本文在3个尺度上分别构造输入并由DLinear完成预测，再利用当前窗口的统计特征确定样本级尺度权重。Abilene和GÉANT用于实验验证，同时设置外部基线比较、固定等权消融、8个随机种子重复实验和路由权重分析。</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12F79B1" w14:textId="77777777" w:rsidR="00B14FA3" w:rsidRPr="00B14FA3" w:rsidRDefault="00B14FA3" w:rsidP="00B14FA3"/>
    <w:p w14:paraId="155C26D6"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1 </w:t>
      </w:r>
      <w:r w:rsidRPr="00B14FA3">
        <w:rPr>
          <w:rFonts w:ascii="Arial" w:eastAsia="黑体" w:hAnsi="Arial"/>
          <w:b/>
          <w:color w:val="000000"/>
          <w:kern w:val="0"/>
          <w:sz w:val="24"/>
          <w:szCs w:val="20"/>
        </w:rPr>
        <w:t>自适应多尺度网络流量预测方法</w:t>
      </w:r>
    </w:p>
    <w:p w14:paraId="0B4AA7AE" w14:textId="77777777" w:rsidR="00B14FA3" w:rsidRPr="00B14FA3" w:rsidRDefault="00B14FA3" w:rsidP="00B14FA3">
      <w:r>
        <w:rPr>
          <w:color w:val="000000"/>
          <w:szCs w:val="21"/>
        </w:rPr>
        <w:t>图1所示流程从原始OD流量开始。完成对数变换和标准化后，数据分别形成尺度1、2和4的输入序列，3组序列各自送入DLinear专家。每个专家输出长度为H的预测结果；另一条支路根据当前输入窗口的统计量计算3个尺度权重。最终结果由这3个专家输出按权重组合得到。</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4A0F6536" w14:textId="77777777" w:rsidR="00B14FA3" w:rsidRPr="00B14FA3" w:rsidRDefault="00B14FA3" w:rsidP="00B14FA3">
      <w:pPr>
        <w:keepNext/>
        <w:spacing w:before="60"/>
        <w:ind w:firstLine="0"/>
        <w:jc w:val="center"/>
      </w:pPr>
      <w:r w:rsidRPr="00B14FA3">
        <w:rPr>
          <w:noProof/>
        </w:rPr>
        <w:drawing>
          <wp:inline distT="0" distB="0" distL="0" distR="0" wp14:anchorId="0702D61E" wp14:editId="2DE249BE">
            <wp:extent cx="5829300" cy="327660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9300" cy="3276600"/>
                    </a:xfrm>
                    <a:prstGeom prst="rect">
                      <a:avLst/>
                    </a:prstGeom>
                    <a:noFill/>
                    <a:ln>
                      <a:noFill/>
                    </a:ln>
                  </pic:spPr>
                </pic:pic>
              </a:graphicData>
            </a:graphic>
          </wp:inline>
        </w:drawing>
      </w:r>
    </w:p>
    <w:p w14:paraId="4BAAA424" w14:textId="77777777" w:rsidR="00B14FA3" w:rsidRPr="00B14FA3" w:rsidRDefault="00B14FA3" w:rsidP="00B14FA3">
      <w:pPr>
        <w:keepLines/>
        <w:spacing w:before="60" w:after="80"/>
        <w:ind w:firstLine="0"/>
        <w:jc w:val="center"/>
      </w:pPr>
      <w:r>
        <w:rPr>
          <w:rFonts w:eastAsia="黑体"/>
          <w:b/>
          <w:sz w:val="18"/>
          <w:szCs w:val="18"/>
        </w:rPr>
        <w:t>图</w:t>
      </w:r>
      <w:r>
        <w:rPr>
          <w:rFonts w:eastAsia="黑体"/>
          <w:b/>
          <w:sz w:val="18"/>
          <w:szCs w:val="18"/>
        </w:rPr>
        <w:t xml:space="preserve">1 </w:t>
      </w:r>
      <w:r>
        <w:rPr>
          <w:rFonts w:eastAsia="黑体"/>
          <w:b/>
          <w:sz w:val="18"/>
          <w:szCs w:val="18"/>
        </w:rPr>
        <w:t>自适应多尺度网络流量预测方法框架</w:t>
      </w:r>
    </w:p>
    <w:p w14:paraId="6C67E13A"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ascii="Arial" w:eastAsia="黑体" w:hAnsi="Arial"/>
          <w:b/>
          <w:bCs/>
          <w:color w:val="000000"/>
          <w:szCs w:val="21"/>
        </w:rPr>
        <w:t xml:space="preserve">1.1 </w:t>
      </w:r>
      <w:r w:rsidRPr="00B14FA3">
        <w:rPr>
          <w:rFonts w:eastAsia="黑体"/>
          <w:b/>
          <w:bCs/>
          <w:szCs w:val="21"/>
        </w:rPr>
        <w:t>问题定义与数据预处理</w:t>
      </w:r>
    </w:p>
    <w:p w14:paraId="68385A57" w14:textId="77777777" w:rsidR="00B14FA3" w:rsidRPr="00B14FA3" w:rsidRDefault="00B14FA3" w:rsidP="00B14FA3">
      <w:pPr>
        <w:spacing w:line="360" w:lineRule="auto"/>
      </w:pPr>
      <w:r>
        <w:rPr>
          <w:szCs w:val="21"/>
        </w:rPr>
        <w:t>记预处理后的多变量流量序列为 xt∈RC，t表示时间索引，C表示OD变量数。第n个样本对应的输入与目标定义为</w:t>
      </w:r>
      <w:r>
        <w:rPr>
          <w:szCs w:val="21"/>
        </w:rPr>
      </w:r>
      <w:r>
        <w:rPr>
          <w:i/>
          <w:iCs/>
          <w:szCs w:val="21"/>
        </w:rPr>
      </w:r>
      <w:r>
        <w:rPr>
          <w:i/>
          <w:iCs/>
          <w:szCs w:val="21"/>
          <w:vertAlign w:val="subscript"/>
        </w:rPr>
      </w:r>
      <w:r>
        <w:rPr>
          <w:szCs w:val="21"/>
        </w:rPr>
      </w:r>
      <w:r>
        <w:rPr>
          <w:i/>
          <w:iCs/>
          <w:szCs w:val="21"/>
        </w:rPr>
      </w:r>
      <w:r>
        <w:rPr>
          <w:i/>
          <w:iCs/>
          <w:szCs w:val="21"/>
          <w:vertAlign w:val="superscript"/>
        </w:rPr>
      </w:r>
      <w:r>
        <w:rPr>
          <w:szCs w:val="21"/>
        </w:rPr>
      </w:r>
      <w:r>
        <w:rPr>
          <w:i/>
          <w:iCs/>
          <w:szCs w:val="21"/>
        </w:rPr>
      </w:r>
      <w:r>
        <w:rPr>
          <w:szCs w:val="21"/>
        </w:rPr>
      </w:r>
      <w:r>
        <w:rPr>
          <w:i/>
          <w:iCs/>
          <w:szCs w:val="21"/>
        </w:rPr>
      </w:r>
      <w:r>
        <w:rPr>
          <w:szCs w:val="21"/>
        </w:rPr>
      </w:r>
      <w:r>
        <w:rPr>
          <w:szCs w:val="21"/>
        </w:rPr>
      </w:r>
      <w:r>
        <w:rPr>
          <w:szCs w:val="21"/>
        </w:rPr>
      </w:r>
      <w:r>
        <w:rPr>
          <w:i/>
          <w:iCs/>
          <w:szCs w:val="21"/>
        </w:rPr>
      </w:r>
      <w:r>
        <w:rPr>
          <w:szCs w:val="21"/>
        </w:rPr>
      </w:r>
    </w:p>
    <w:p w14:paraId="54EEA79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lastRenderedPageBreak/>
        <w:tab/>
      </w:r>
      <m:oMath>
        <m:sSub>
          <m:sSubPr>
            <m:ctrlPr>
              <w:rPr>
                <w:rFonts w:ascii="Cambria Math" w:eastAsia="Cambria Math" w:hAnsi="Cambria Math"/>
                <w:i/>
              </w:rPr>
            </m:ctrlPr>
          </m:sSubPr>
          <m:e>
            <m:r>
              <m:rPr>
                <m:sty m:val="bi"/>
              </m:rP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L×C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w:t>
      </w:r>
    </w:p>
    <w:p w14:paraId="629FA8C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Y</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n+L+H-1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H×C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(2)</w:t>
      </w:r>
    </w:p>
    <w:p w14:paraId="221B26ED" w14:textId="77777777" w:rsidR="00B14FA3" w:rsidRPr="00B14FA3" w:rsidRDefault="00B14FA3" w:rsidP="00B14FA3">
      <w:pPr>
        <w:spacing w:line="360" w:lineRule="auto"/>
      </w:pPr>
      <w:r>
        <w:rPr>
          <w:szCs w:val="21"/>
        </w:rPr>
        <w:t>本文取输入长度</w:t>
      </w:r>
      <w:r>
        <w:rPr>
          <w:i/>
          <w:iCs/>
          <w:szCs w:val="21"/>
        </w:rPr>
        <w:t>L</w:t>
      </w:r>
      <w:r>
        <w:rPr>
          <w:szCs w:val="21"/>
        </w:rPr>
        <w:t>=96</w:t>
      </w:r>
      <w:r>
        <w:rPr>
          <w:szCs w:val="21"/>
        </w:rPr>
        <w:t>、预测长度</w:t>
      </w:r>
      <w:r>
        <w:rPr>
          <w:i/>
          <w:iCs/>
          <w:szCs w:val="21"/>
        </w:rPr>
        <w:t>H</w:t>
      </w:r>
      <w:r>
        <w:rPr>
          <w:szCs w:val="21"/>
        </w:rPr>
        <w:t>=24</w:t>
      </w:r>
      <w:r>
        <w:rPr>
          <w:szCs w:val="21"/>
        </w:rPr>
        <w:t>、变量数</w:t>
      </w:r>
      <w:r>
        <w:rPr>
          <w:i/>
          <w:iCs/>
          <w:szCs w:val="21"/>
        </w:rPr>
        <w:t>C</w:t>
      </w:r>
      <w:r>
        <w:rPr>
          <w:szCs w:val="21"/>
        </w:rPr>
        <w:t>随具体数据集的有效</w:t>
      </w:r>
      <w:r>
        <w:rPr>
          <w:szCs w:val="21"/>
        </w:rPr>
        <w:t>OD</w:t>
      </w:r>
      <w:r>
        <w:rPr>
          <w:szCs w:val="21"/>
        </w:rPr>
        <w:t>维度确定，学习映射</w:t>
      </w:r>
      <w:r>
        <w:rPr>
          <w:b/>
          <w:bCs/>
          <w:i/>
          <w:iCs/>
          <w:szCs w:val="21"/>
        </w:rPr>
        <w:t>Ŷ</w:t>
      </w:r>
      <w:r>
        <w:rPr>
          <w:i/>
          <w:iCs/>
          <w:szCs w:val="21"/>
          <w:vertAlign w:val="subscript"/>
        </w:rPr>
        <w:t>n</w:t>
      </w:r>
      <w:r>
        <w:rPr>
          <w:szCs w:val="21"/>
        </w:rPr>
        <w:t>=</w:t>
      </w:r>
      <w:r>
        <w:rPr>
          <w:i/>
          <w:iCs/>
          <w:szCs w:val="21"/>
        </w:rPr>
        <w:t>f</w:t>
      </w:r>
      <w:r>
        <w:rPr>
          <w:i/>
          <w:iCs/>
          <w:szCs w:val="21"/>
          <w:vertAlign w:val="subscript"/>
        </w:rPr>
        <w:t>θ</w:t>
      </w:r>
      <w:r>
        <w:rPr>
          <w:szCs w:val="21"/>
        </w:rPr>
        <w:t>(</w:t>
      </w:r>
      <w:r>
        <w:rPr>
          <w:b/>
          <w:bCs/>
          <w:i/>
          <w:iCs/>
          <w:szCs w:val="21"/>
        </w:rPr>
        <w:t>X</w:t>
      </w:r>
      <w:r>
        <w:rPr>
          <w:i/>
          <w:iCs/>
          <w:szCs w:val="21"/>
          <w:vertAlign w:val="subscript"/>
        </w:rPr>
        <w:t>n</w:t>
      </w:r>
      <w:r>
        <w:rPr>
          <w:szCs w:val="21"/>
        </w:rPr>
        <w:t>)</w:t>
      </w:r>
      <w:r>
        <w:rPr>
          <w:szCs w:val="21"/>
        </w:rPr>
        <w:t>。原始非负流量</w:t>
      </w:r>
      <w:r>
        <w:rPr>
          <w:i/>
          <w:iCs/>
          <w:szCs w:val="21"/>
        </w:rPr>
        <w:t>v</w:t>
      </w:r>
      <w:r>
        <w:rPr>
          <w:i/>
          <w:iCs/>
          <w:szCs w:val="21"/>
          <w:vertAlign w:val="subscript"/>
        </w:rPr>
        <w:t>t,c</w:t>
      </w:r>
      <w:r>
        <w:rPr>
          <w:szCs w:val="21"/>
        </w:rPr>
        <w:t>先作对数变换</w:t>
      </w:r>
    </w:p>
    <w:p w14:paraId="06B107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unc>
          <m:funcPr>
            <m:ctrlPr>
              <w:rPr>
                <w:rFonts w:ascii="Cambria Math" w:eastAsia="Cambria Math" w:hAnsi="Cambria Math"/>
              </w:rPr>
            </m:ctrlPr>
          </m:funcPr>
          <m:fName>
            <m:r>
              <m:rPr>
                <m:sty m:val="p"/>
              </m:rPr>
              <w:rPr>
                <w:rFonts w:ascii="Cambria Math" w:eastAsia="Cambria Math" w:hAnsi="Cambria Math"/>
                <w:kern w:val="0"/>
                <w:szCs w:val="20"/>
              </w:rPr>
              <m:t>log</m:t>
            </m:r>
            <m:ctrlPr>
              <w:rPr>
                <w:rFonts w:ascii="Cambria Math" w:eastAsia="Cambria Math" w:hAnsi="Cambria Math"/>
                <w:i/>
              </w:rPr>
            </m:ctrlPr>
          </m:fName>
          <m:e>
            <m:d>
              <m:dPr>
                <m:ctrlPr>
                  <w:rPr>
                    <w:rFonts w:ascii="Cambria Math" w:eastAsia="Cambria Math" w:hAnsi="Cambria Math"/>
                    <w:i/>
                  </w:rPr>
                </m:ctrlPr>
              </m:dPr>
              <m:e>
                <m:r>
                  <w:rPr>
                    <w:rFonts w:ascii="Cambria Math" w:eastAsia="Cambria Math" w:hAnsi="Cambria Math"/>
                    <w:kern w:val="0"/>
                    <w:szCs w:val="20"/>
                  </w:rPr>
                  <m:t>1+</m:t>
                </m:r>
                <m:sSub>
                  <m:sSubPr>
                    <m:ctrlPr>
                      <w:rPr>
                        <w:rFonts w:ascii="Cambria Math" w:eastAsia="Cambria Math" w:hAnsi="Cambria Math"/>
                        <w:i/>
                      </w:rPr>
                    </m:ctrlPr>
                  </m:sSubPr>
                  <m:e>
                    <m:r>
                      <w:rPr>
                        <w:rFonts w:ascii="Cambria Math" w:eastAsia="Cambria Math" w:hAnsi="Cambria Math"/>
                        <w:kern w:val="0"/>
                        <w:szCs w:val="20"/>
                      </w:rPr>
                      <m:t>v</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e>
            </m:d>
          </m:e>
        </m:func>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(3)</w:t>
      </w:r>
    </w:p>
    <w:p w14:paraId="5088C610" w14:textId="77777777" w:rsidR="00B14FA3" w:rsidRPr="00B14FA3" w:rsidRDefault="00B14FA3" w:rsidP="00B14FA3">
      <w:pPr>
        <w:spacing w:line="360" w:lineRule="auto"/>
      </w:pPr>
      <w:r w:rsidRPr="00B14FA3">
        <w:rPr>
          <w:szCs w:val="21"/>
        </w:rPr>
        <w:t>再按变量进行标准化：</w:t>
      </w:r>
    </w:p>
    <w:p w14:paraId="2A2346E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
          <m:fPr>
            <m:ctrlPr>
              <w:rPr>
                <w:rFonts w:ascii="Cambria Math" w:eastAsia="Cambria Math" w:hAnsi="Cambria Math"/>
                <w:i/>
              </w:rPr>
            </m:ctrlPr>
          </m:fPr>
          <m:num>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sSubSup>
              <m:sSubSupPr>
                <m:ctrlPr>
                  <w:rPr>
                    <w:rFonts w:ascii="Cambria Math" w:eastAsia="Cambria Math" w:hAnsi="Cambria Math"/>
                    <w:i/>
                  </w:rPr>
                </m:ctrlPr>
              </m:sSubSupPr>
              <m:e>
                <m:r>
                  <w:rPr>
                    <w:rFonts w:ascii="Cambria Math" w:eastAsia="Cambria Math" w:hAnsi="Cambria Math"/>
                    <w:kern w:val="0"/>
                    <w:szCs w:val="20"/>
                  </w:rPr>
                  <m:t>μ</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num>
          <m:den>
            <m:sSubSup>
              <m:sSubSupPr>
                <m:ctrlPr>
                  <w:rPr>
                    <w:rFonts w:ascii="Cambria Math" w:eastAsia="Cambria Math" w:hAnsi="Cambria Math"/>
                    <w:i/>
                  </w:rPr>
                </m:ctrlPr>
              </m:sSubSupPr>
              <m:e>
                <m:r>
                  <w:rPr>
                    <w:rFonts w:ascii="Cambria Math" w:eastAsia="Cambria Math" w:hAnsi="Cambria Math"/>
                    <w:kern w:val="0"/>
                    <w:szCs w:val="20"/>
                  </w:rPr>
                  <m:t>σ</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den>
        </m:f>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(4)</w:t>
      </w:r>
    </w:p>
    <w:p w14:paraId="2663E5C2" w14:textId="77777777" w:rsidR="00B14FA3" w:rsidRPr="00B14FA3" w:rsidRDefault="00B14FA3" w:rsidP="00B14FA3">
      <w:pPr>
        <w:spacing w:line="360" w:lineRule="auto"/>
      </w:pPr>
      <w:r>
        <w:rPr>
          <w:szCs w:val="21"/>
        </w:rPr>
        <w:t>其中μctr和σctr只在训练集上计算，验证集和测试集直接使用训练阶段得到的参数。由于不同OD变量的流量量级差异较大，原始非负流量先进行log(1+x)变换，再按变量标准化。数据仍按时间顺序以6∶2∶2划分为训练集、验证集和测试集，各集合内部独立生成滑动窗口。</w:t>
      </w:r>
      <w:r>
        <w:rPr>
          <w:i/>
          <w:iCs/>
          <w:szCs w:val="21"/>
        </w:rPr>
      </w:r>
      <w:r>
        <w:rPr>
          <w:i/>
          <w:iCs/>
          <w:szCs w:val="21"/>
          <w:vertAlign w:val="subscript"/>
        </w:rPr>
      </w:r>
      <w:r>
        <w:rPr>
          <w:szCs w:val="21"/>
          <w:vertAlign w:val="superscript"/>
        </w:rPr>
      </w:r>
      <w:r>
        <w:rPr>
          <w:szCs w:val="21"/>
        </w:rPr>
      </w:r>
      <w:r>
        <w:rPr>
          <w:i/>
          <w:iCs/>
          <w:szCs w:val="21"/>
        </w:rPr>
      </w:r>
      <w:r>
        <w:rPr>
          <w:i/>
          <w:iCs/>
          <w:szCs w:val="21"/>
          <w:vertAlign w:val="subscript"/>
        </w:rPr>
      </w:r>
      <w:r>
        <w:rPr>
          <w:szCs w:val="21"/>
          <w:vertAlign w:val="superscript"/>
        </w:rPr>
      </w:r>
      <w:r>
        <w:rPr>
          <w:szCs w:val="21"/>
        </w:rPr>
      </w:r>
      <w:r>
        <w:rPr>
          <w:szCs w:val="21"/>
        </w:rPr>
      </w:r>
      <w:r>
        <w:rPr>
          <w:szCs w:val="21"/>
        </w:rPr>
      </w:r>
    </w:p>
    <w:p w14:paraId="61721526"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1.2 </w:t>
      </w:r>
      <w:r w:rsidRPr="00B14FA3">
        <w:rPr>
          <w:rFonts w:eastAsia="黑体"/>
          <w:b/>
          <w:bCs/>
          <w:szCs w:val="21"/>
        </w:rPr>
        <w:t>多尺度序列构造</w:t>
      </w:r>
    </w:p>
    <w:p w14:paraId="70A22C31" w14:textId="77777777" w:rsidR="00B14FA3" w:rsidRPr="00B14FA3" w:rsidRDefault="00B14FA3" w:rsidP="00B14FA3">
      <w:pPr>
        <w:spacing w:line="360" w:lineRule="auto"/>
      </w:pPr>
      <w:r w:rsidRPr="00B14FA3">
        <w:rPr>
          <w:szCs w:val="21"/>
        </w:rPr>
        <w:t>设尺度集合S={1,2,4}。对于任一尺度s，采用窗口大小为s、步长也为s的非重叠平均池化：</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14:paraId="1886486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s</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i=0</m:t>
                    </m:r>
                  </m:e>
                </m:d>
              </m:e>
              <m:sub>
                <m:d>
                  <m:dPr>
                    <m:begChr m:val="{"/>
                    <m:endChr m:val="}"/>
                    <m:ctrlPr>
                      <w:rPr>
                        <w:rFonts w:ascii="Cambria Math" w:eastAsia="Cambria Math" w:hAnsi="Cambria Math"/>
                        <w:i/>
                      </w:rPr>
                    </m:ctrlPr>
                  </m:dPr>
                  <m:e>
                    <m:r>
                      <w:rPr>
                        <w:rFonts w:ascii="Cambria Math" w:eastAsia="Cambria Math" w:hAnsi="Cambria Math"/>
                        <w:kern w:val="0"/>
                        <w:szCs w:val="20"/>
                      </w:rPr>
                      <m:t>n,st+i</m:t>
                    </m:r>
                  </m:e>
                </m:d>
              </m:sub>
              <m:sup>
                <m:d>
                  <m:dPr>
                    <m:begChr m:val="{"/>
                    <m:endChr m:val="}"/>
                    <m:ctrlPr>
                      <w:rPr>
                        <w:rFonts w:ascii="Cambria Math" w:eastAsia="Cambria Math" w:hAnsi="Cambria Math"/>
                        <w:i/>
                      </w:rPr>
                    </m:ctrlPr>
                  </m:dPr>
                  <m:e>
                    <m:r>
                      <w:rPr>
                        <w:rFonts w:ascii="Cambria Math" w:eastAsia="Cambria Math" w:hAnsi="Cambria Math"/>
                        <w:kern w:val="0"/>
                        <w:szCs w:val="20"/>
                      </w:rPr>
                      <m:t>s-1</m:t>
                    </m:r>
                  </m:e>
                </m:d>
                <m:r>
                  <m:rPr>
                    <m:sty m:val="bi"/>
                  </m:rPr>
                  <w:rPr>
                    <w:rFonts w:ascii="Cambria Math" w:eastAsia="Cambria Math" w:hAnsi="Cambria Math"/>
                    <w:kern w:val="0"/>
                    <w:szCs w:val="20"/>
                  </w:rPr>
                  <m:t>X</m:t>
                </m:r>
              </m:sup>
            </m:sSubSup>
          </m:sub>
        </m:sSub>
        <m:r>
          <w:rPr>
            <w:rFonts w:ascii="Cambria Math" w:eastAsia="Cambria Math" w:hAnsi="Cambria Math"/>
            <w:kern w:val="0"/>
            <w:szCs w:val="20"/>
          </w:rPr>
          <m:t>,     t=0,…,</m:t>
        </m:r>
        <m:f>
          <m:fPr>
            <m:ctrlPr>
              <w:rPr>
                <w:rFonts w:ascii="Cambria Math" w:eastAsia="Cambria Math" w:hAnsi="Cambria Math"/>
                <w:i/>
              </w:rPr>
            </m:ctrlPr>
          </m:fPr>
          <m:num>
            <m:r>
              <w:rPr>
                <w:rFonts w:ascii="Cambria Math" w:eastAsia="Cambria Math" w:hAnsi="Cambria Math"/>
                <w:kern w:val="0"/>
                <w:szCs w:val="20"/>
              </w:rPr>
              <m:t>L</m:t>
            </m:r>
          </m:num>
          <m:den>
            <m:r>
              <w:rPr>
                <w:rFonts w:ascii="Cambria Math" w:eastAsia="Cambria Math" w:hAnsi="Cambria Math"/>
                <w:kern w:val="0"/>
                <w:szCs w:val="20"/>
              </w:rPr>
              <m:t>s</m:t>
            </m:r>
          </m:den>
        </m:f>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(5)</w:t>
      </w:r>
    </w:p>
    <w:p w14:paraId="7293F014" w14:textId="77777777" w:rsidR="00B14FA3" w:rsidRPr="00B14FA3" w:rsidRDefault="00B14FA3" w:rsidP="00B14FA3">
      <w:pPr>
        <w:spacing w:line="360" w:lineRule="auto"/>
      </w:pPr>
      <w:r w:rsidRPr="00B14FA3">
        <w:rPr>
          <w:szCs w:val="21"/>
        </w:rPr>
        <w:t>本文使用尺度集合S={1,2,4}。尺度1保留96步原始输入；尺度2对相邻2点进行非重叠平均，得到48步序列；尺度4进一步得到24步序列。尺度变大后，局部起伏会被逐步平滑，因此3组序列保留的信息侧重点并不相同。平均池化本身不包含可训练参数。</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14:paraId="306E219C"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1.3 DLinear</w:t>
      </w:r>
      <w:r w:rsidRPr="00B14FA3">
        <w:rPr>
          <w:rFonts w:eastAsia="黑体"/>
          <w:b/>
          <w:bCs/>
          <w:szCs w:val="21"/>
        </w:rPr>
        <w:t>尺度专家</w:t>
      </w:r>
    </w:p>
    <w:p w14:paraId="0C0C1858" w14:textId="77777777" w:rsidR="00B14FA3" w:rsidRPr="00B14FA3" w:rsidRDefault="00B14FA3" w:rsidP="00B14FA3">
      <w:pPr>
        <w:spacing w:line="360" w:lineRule="auto"/>
      </w:pPr>
      <w:r w:rsidRPr="00B14FA3">
        <w:rPr>
          <w:szCs w:val="21"/>
        </w:rPr>
        <w:t>尺度1、2和4各配置一个DLinear专家[4]。对尺度s的输入，使用长度q=25的中心移动平均提取趋势项，序列两端以端点复制方式保持长度：</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i/>
          <w:iCs/>
          <w:szCs w:val="21"/>
        </w:rPr>
      </w:r>
      <w:r w:rsidRPr="00B14FA3">
        <w:rPr>
          <w:szCs w:val="21"/>
        </w:rPr>
      </w:r>
      <w:r w:rsidRPr="00B14FA3">
        <w:rPr>
          <w:szCs w:val="21"/>
        </w:rPr>
      </w:r>
    </w:p>
    <w:p w14:paraId="470EA410"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T</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q</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i=-m</m:t>
                </m:r>
              </m:e>
            </m:d>
          </m:sub>
          <m:sup>
            <m:d>
              <m:dPr>
                <m:begChr m:val="{"/>
                <m:endChr m:val="}"/>
                <m:ctrlPr>
                  <w:rPr>
                    <w:rFonts w:ascii="Cambria Math" w:eastAsia="Cambria Math" w:hAnsi="Cambria Math"/>
                    <w:i/>
                  </w:rPr>
                </m:ctrlPr>
              </m:dPr>
              <m:e>
                <m:r>
                  <w:rPr>
                    <w:rFonts w:ascii="Cambria Math" w:eastAsia="Cambria Math" w:hAnsi="Cambria Math"/>
                    <w:kern w:val="0"/>
                    <w:szCs w:val="20"/>
                  </w:rPr>
                  <m:t>m</m:t>
                </m:r>
              </m:e>
            </m:d>
            <m:sSubSup>
              <m:sSubSupPr>
                <m:ctrlPr>
                  <w:rPr>
                    <w:rFonts w:ascii="Cambria Math" w:eastAsia="Cambria Math" w:hAnsi="Cambria Math"/>
                    <w:i/>
                  </w:rPr>
                </m:ctrlPr>
              </m:sSubSupPr>
              <m:e>
                <m:acc>
                  <m:accPr>
                    <m:chr m:val="̄"/>
                    <m:ctrlPr>
                      <w:rPr>
                        <w:rFonts w:ascii="Cambria Math" w:eastAsia="Cambria Math" w:hAnsi="Cambria Math"/>
                        <w:i/>
                      </w:rPr>
                    </m:ctrlPr>
                  </m:accPr>
                  <m:e>
                    <m:r>
                      <m:rPr>
                        <m:sty m:val="bi"/>
                      </m:rPr>
                      <w:rPr>
                        <w:rFonts w:ascii="Cambria Math" w:eastAsia="Cambria Math" w:hAnsi="Cambria Math"/>
                        <w:kern w:val="0"/>
                        <w:szCs w:val="20"/>
                      </w:rPr>
                      <m:t>X</m:t>
                    </m:r>
                  </m:e>
                </m:acc>
              </m:e>
              <m:sub>
                <m:d>
                  <m:dPr>
                    <m:begChr m:val="{"/>
                    <m:endChr m:val="}"/>
                    <m:ctrlPr>
                      <w:rPr>
                        <w:rFonts w:ascii="Cambria Math" w:eastAsia="Cambria Math" w:hAnsi="Cambria Math"/>
                        <w:i/>
                      </w:rPr>
                    </m:ctrlPr>
                  </m:dPr>
                  <m:e>
                    <m:r>
                      <w:rPr>
                        <w:rFonts w:ascii="Cambria Math" w:eastAsia="Cambria Math" w:hAnsi="Cambria Math"/>
                        <w:kern w:val="0"/>
                        <w:szCs w:val="20"/>
                      </w:rPr>
                      <m:t>n,t+i</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     q=2m+1=25,</m:t>
        </m:r>
      </m:oMath>
      <w:r w:rsidRPr="00B14FA3">
        <w:rPr>
          <w:rFonts w:ascii="Cambria Math" w:eastAsia="Cambria Math" w:hAnsi="Cambria Math"/>
          <w:kern w:val="0"/>
          <w:szCs w:val="20"/>
        </w:rPr>
        <w:tab/>
      </w:r>
      <w:r w:rsidRPr="00B14FA3">
        <w:rPr>
          <w:kern w:val="0"/>
          <w:szCs w:val="20"/>
        </w:rPr>
        <w:t>(6)</w:t>
      </w:r>
    </w:p>
    <w:p w14:paraId="17B8C73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X</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(7)</w:t>
      </w:r>
    </w:p>
    <w:p w14:paraId="26BF54CF" w14:textId="77777777" w:rsidR="00B14FA3" w:rsidRPr="00B14FA3" w:rsidRDefault="00B14FA3" w:rsidP="00B14FA3">
      <w:pPr>
        <w:spacing w:line="360" w:lineRule="auto"/>
      </w:pPr>
      <w:r>
        <w:rPr>
          <w:szCs w:val="21"/>
        </w:rPr>
        <w:t>趋势项</w:t>
      </w:r>
      <w:r>
        <w:rPr>
          <w:b/>
          <w:bCs/>
          <w:i/>
          <w:iCs/>
          <w:szCs w:val="21"/>
        </w:rPr>
        <w:t>T</w:t>
      </w:r>
      <w:r>
        <w:rPr>
          <w:szCs w:val="21"/>
          <w:vertAlign w:val="superscript"/>
        </w:rPr>
        <w:t>(</w:t>
      </w:r>
      <w:r>
        <w:rPr>
          <w:i/>
          <w:iCs/>
          <w:szCs w:val="21"/>
          <w:vertAlign w:val="superscript"/>
        </w:rPr>
        <w:t>s</w:t>
      </w:r>
      <w:r>
        <w:rPr>
          <w:szCs w:val="21"/>
          <w:vertAlign w:val="superscript"/>
        </w:rPr>
        <w:t>)</w:t>
      </w:r>
      <w:r>
        <w:rPr>
          <w:szCs w:val="21"/>
        </w:rPr>
        <w:t>和余项</w:t>
      </w:r>
      <w:r>
        <w:rPr>
          <w:b/>
          <w:bCs/>
          <w:i/>
          <w:iCs/>
          <w:szCs w:val="21"/>
        </w:rPr>
        <w:t>R</w:t>
      </w:r>
      <w:r>
        <w:rPr>
          <w:szCs w:val="21"/>
          <w:vertAlign w:val="superscript"/>
        </w:rPr>
        <w:t>(</w:t>
      </w:r>
      <w:r>
        <w:rPr>
          <w:i/>
          <w:iCs/>
          <w:szCs w:val="21"/>
          <w:vertAlign w:val="superscript"/>
        </w:rPr>
        <w:t>s</w:t>
      </w:r>
      <w:r>
        <w:rPr>
          <w:szCs w:val="21"/>
          <w:vertAlign w:val="superscript"/>
        </w:rPr>
        <w:t>)</w:t>
      </w:r>
      <w:r>
        <w:rPr>
          <w:szCs w:val="21"/>
        </w:rPr>
        <w:t>沿时间维分别通过线性层映射到预测长度</w:t>
      </w:r>
      <w:r>
        <w:rPr>
          <w:i/>
          <w:iCs/>
          <w:szCs w:val="21"/>
        </w:rPr>
        <w:t>H</w:t>
      </w:r>
      <w:r>
        <w:rPr>
          <w:szCs w:val="21"/>
        </w:rPr>
        <w:t>：</w:t>
      </w:r>
    </w:p>
    <w:p w14:paraId="15255C2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(8)</w:t>
      </w:r>
    </w:p>
    <w:p w14:paraId="554CD434" w14:textId="77777777" w:rsidR="00B14FA3" w:rsidRPr="00B14FA3" w:rsidRDefault="00B14FA3" w:rsidP="00B14FA3">
      <w:pPr>
        <w:spacing w:line="360" w:lineRule="auto"/>
      </w:pPr>
      <w:r>
        <w:rPr>
          <w:szCs w:val="21"/>
        </w:rPr>
        <w:t>对3个尺度分别使用独立DLinear专家[4]。尺度输入先经过长度q=25的中心移动平均得到趋势项，原序列减去趋势项后得到余项，随后两部分沿时间维分别进行线性映射。同一尺度内的OD变量共享时间映射参数，而尺度之间不共享参数。</w:t>
      </w:r>
      <w:r w:rsidRPr="00B14FA3">
        <w:rPr>
          <w:szCs w:val="21"/>
        </w:rPr>
      </w:r>
      <w:r w:rsidRPr="00B14FA3">
        <w:rPr>
          <w:szCs w:val="21"/>
        </w:rPr>
      </w:r>
      <w:r w:rsidRPr="00B14FA3">
        <w:rPr>
          <w:szCs w:val="21"/>
        </w:rPr>
      </w:r>
      <w:r w:rsidRPr="00B14FA3">
        <w:rPr>
          <w:szCs w:val="21"/>
        </w:rPr>
      </w:r>
      <w:r w:rsidRPr="00B14FA3">
        <w:rPr>
          <w:szCs w:val="21"/>
        </w:rPr>
      </w:r>
    </w:p>
    <w:p w14:paraId="7F75A3C8"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1.4 </w:t>
      </w:r>
      <w:r w:rsidRPr="00B14FA3">
        <w:rPr>
          <w:rFonts w:eastAsia="黑体"/>
          <w:b/>
          <w:bCs/>
          <w:szCs w:val="21"/>
        </w:rPr>
        <w:t>样本级自适应尺度加权</w:t>
      </w:r>
    </w:p>
    <w:p w14:paraId="5F192824" w14:textId="77777777" w:rsidR="00B14FA3" w:rsidRPr="00B14FA3" w:rsidRDefault="00B14FA3" w:rsidP="00B14FA3">
      <w:pPr>
        <w:spacing w:line="360" w:lineRule="auto"/>
      </w:pPr>
      <w:r>
        <w:rPr>
          <w:szCs w:val="21"/>
        </w:rPr>
        <w:t>3个DLinear专家输出后，融合权重由当前输入样本决定。若直接取1/3等权，流量平稳时和波动明显时采用的尺度比例完全相同。本文从原始输入Xn提取四维统计向量zn=[μn,σn,ℓn,dn]，其中</w:t>
      </w:r>
      <w:r>
        <w:rPr>
          <w:b/>
          <w:bCs/>
          <w:i/>
          <w:iCs/>
          <w:szCs w:val="21"/>
        </w:rPr>
      </w:r>
      <w:r>
        <w:rPr>
          <w:i/>
          <w:iCs/>
          <w:szCs w:val="21"/>
          <w:vertAlign w:val="subscript"/>
        </w:rPr>
      </w:r>
      <w:r>
        <w:rPr>
          <w:szCs w:val="21"/>
        </w:rPr>
      </w:r>
      <w:r>
        <w:rPr>
          <w:szCs w:val="21"/>
        </w:rPr>
      </w:r>
      <w:r>
        <w:rPr>
          <w:b/>
          <w:bCs/>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szCs w:val="21"/>
        </w:rPr>
      </w:r>
    </w:p>
    <w:p w14:paraId="6325C9E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n</m:t>
            </m:r>
          </m:sub>
        </m:sSub>
        <m:r>
          <w:rPr>
            <w:rFonts w:ascii="Cambria Math" w:eastAsia="Cambria Math" w:hAnsi="Cambria Math"/>
            <w:kern w:val="0"/>
            <w:szCs w:val="20"/>
          </w:rPr>
          <m:t>=</m:t>
        </m:r>
        <m:rad>
          <m:radPr>
            <m:degHide m:val="1"/>
            <m:ctrlPr>
              <w:rPr>
                <w:rFonts w:ascii="Cambria Math" w:eastAsia="Cambria Math" w:hAnsi="Cambria Math"/>
                <w:i/>
              </w:rPr>
            </m:ctrlPr>
          </m:radPr>
          <m:deg/>
          <m:e>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e>
                </m:d>
              </m:sub>
              <m:sup>
                <m:r>
                  <w:rPr>
                    <w:rFonts w:ascii="Cambria Math" w:eastAsia="Cambria Math" w:hAnsi="Cambria Math"/>
                    <w:kern w:val="0"/>
                    <w:szCs w:val="20"/>
                  </w:rPr>
                  <m:t>2</m:t>
                </m:r>
              </m:sup>
            </m:sSubSup>
          </m:e>
        </m:rad>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(9)</w:t>
      </w:r>
    </w:p>
    <w:p w14:paraId="3BBFF1DF"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cr m:val="script"/>
              </m:rPr>
              <w:rPr>
                <w:rFonts w:ascii="Cambria Math" w:eastAsia="Cambria Math" w:hAnsi="Cambria Math"/>
                <w:kern w:val="0"/>
                <w:szCs w:val="20"/>
              </w:rPr>
              <m:t>l</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c</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d</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d>
                  <m:dPr>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t=1</m:t>
                    </m:r>
                  </m:e>
                </m:d>
              </m:e>
              <m:sub>
                <m:r>
                  <w:rPr>
                    <w:rFonts w:ascii="Cambria Math" w:eastAsia="Cambria Math" w:hAnsi="Cambria Math"/>
                    <w:kern w:val="0"/>
                    <w:szCs w:val="20"/>
                  </w:rPr>
                  <m:t>c</m:t>
                </m:r>
                <m:d>
                  <m:dPr>
                    <m:begChr m:val="|"/>
                    <m:endChr m:val="|"/>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n,t-1,c</m:t>
                            </m:r>
                          </m:e>
                        </m:d>
                      </m:sub>
                    </m:sSub>
                  </m:e>
                </m:d>
              </m:sub>
              <m:sup>
                <m:d>
                  <m:dPr>
                    <m:begChr m:val="{"/>
                    <m:endChr m:val="}"/>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Σ</m:t>
                </m:r>
              </m:sup>
            </m:sSubSup>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(10)</w:t>
      </w:r>
    </w:p>
    <w:p w14:paraId="4DAEC603" w14:textId="77777777" w:rsidR="00B14FA3" w:rsidRPr="00B14FA3" w:rsidRDefault="00B14FA3" w:rsidP="00B14FA3">
      <w:pPr>
        <w:spacing w:line="360" w:lineRule="auto"/>
      </w:pPr>
      <w:r>
        <w:rPr>
          <w:i/>
          <w:iCs/>
          <w:szCs w:val="21"/>
        </w:rPr>
        <w:t>μn、σn、ℓn和dn分别表示输入窗口的总体水平、离散程度、最近状态和平均变化强度。4个统计量输入隐藏维数为16的两层感知器，输出3个尺度分数。该路由器只处理低维统计量，没有再叠加额外的时序编码模块。</w:t>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szCs w:val="21"/>
        </w:rPr>
      </w:r>
      <w:r>
        <w:rPr>
          <w:szCs w:val="21"/>
        </w:rPr>
      </w:r>
    </w:p>
    <w:p w14:paraId="44EF3E4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a</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2ReLU</m:t>
            </m:r>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W</m:t>
                    </m:r>
                  </m:e>
                  <m:sub>
                    <m:r>
                      <w:rPr>
                        <w:rFonts w:ascii="Cambria Math" w:eastAsia="Cambria Math" w:hAnsi="Cambria Math"/>
                        <w:kern w:val="0"/>
                        <w:szCs w:val="20"/>
                      </w:rPr>
                      <m:t>1</m:t>
                    </m:r>
                    <m:sSub>
                      <m:sSubPr>
                        <m:ctrlPr>
                          <w:rPr>
                            <w:rFonts w:ascii="Cambria Math" w:eastAsia="Cambria Math" w:hAnsi="Cambria Math"/>
                            <w:i/>
                          </w:rPr>
                        </m:ctrlPr>
                      </m:sSubPr>
                      <m:e>
                        <m:r>
                          <m:rPr>
                            <m:sty m:val="bi"/>
                          </m:rPr>
                          <w:rPr>
                            <w:rFonts w:ascii="Cambria Math" w:eastAsia="Cambria Math" w:hAnsi="Cambria Math"/>
                            <w:kern w:val="0"/>
                            <w:szCs w:val="20"/>
                          </w:rPr>
                          <m:t>z</m:t>
                        </m:r>
                      </m:e>
                      <m:sub>
                        <m:r>
                          <w:rPr>
                            <w:rFonts w:ascii="Cambria Math" w:eastAsia="Cambria Math" w:hAnsi="Cambria Math"/>
                            <w:kern w:val="0"/>
                            <w:szCs w:val="20"/>
                          </w:rPr>
                          <m:t>n</m:t>
                        </m:r>
                      </m:sub>
                    </m:sSub>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1</m:t>
                    </m:r>
                  </m:sub>
                </m:sSub>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2</m:t>
            </m:r>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(11)</w:t>
      </w:r>
    </w:p>
    <w:p w14:paraId="2935E851" w14:textId="77777777" w:rsidR="00B14FA3" w:rsidRPr="00B14FA3" w:rsidRDefault="00B14FA3" w:rsidP="00B14FA3">
      <w:pPr>
        <w:spacing w:line="360" w:lineRule="auto"/>
      </w:pPr>
      <w:r>
        <w:rPr>
          <w:szCs w:val="21"/>
        </w:rPr>
        <w:t>3个尺度分数经Softmax处理后得到非负权重，且3个权重之和为1：</w:t>
      </w:r>
      <w:r w:rsidRPr="00B14FA3">
        <w:rPr>
          <w:szCs w:val="21"/>
        </w:rPr>
      </w:r>
      <w:r w:rsidRPr="00B14FA3">
        <w:rPr>
          <w:szCs w:val="21"/>
        </w:rPr>
      </w:r>
      <w:r w:rsidRPr="00B14FA3">
        <w:rPr>
          <w:szCs w:val="21"/>
        </w:rPr>
      </w:r>
      <w:r w:rsidRPr="00B14FA3">
        <w:rPr>
          <w:szCs w:val="21"/>
        </w:rPr>
      </w:r>
    </w:p>
    <w:p w14:paraId="141E24D3"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m:t>
        </m:r>
        <m:f>
          <m:fPr>
            <m:ctrlPr>
              <w:rPr>
                <w:rFonts w:ascii="Cambria Math" w:eastAsia="Cambria Math" w:hAnsi="Cambria Math"/>
                <w:i/>
              </w:rPr>
            </m:ctrlPr>
          </m:fPr>
          <m:num>
            <m:func>
              <m:funcPr>
                <m:ctrlPr>
                  <w:rPr>
                    <w:rFonts w:ascii="Cambria Math" w:eastAsia="Cambria Math" w:hAnsi="Cambria Math"/>
                  </w:rPr>
                </m:ctrlPr>
              </m:funcPr>
              <m:fName>
                <m:r>
                  <m:rPr>
                    <m:sty m:val="p"/>
                  </m:rPr>
                  <w:rPr>
                    <w:rFonts w:ascii="Cambria Math" w:eastAsia="Cambria Math" w:hAnsi="Cambria Math"/>
                    <w:kern w:val="0"/>
                    <w:szCs w:val="20"/>
                  </w:rPr>
                  <m:t>exp</m:t>
                </m:r>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e>
                </m:d>
              </m:e>
            </m:func>
          </m:num>
          <m:den>
            <m:func>
              <m:funcPr>
                <m:ctrlPr>
                  <w:rPr>
                    <w:rFonts w:ascii="Cambria Math" w:eastAsia="Cambria Math" w:hAnsi="Cambria Math"/>
                  </w:rPr>
                </m:ctrlPr>
              </m:funcPr>
              <m:fName>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j∈S</m:t>
                        </m:r>
                      </m:e>
                    </m:d>
                    <m:r>
                      <m:rPr>
                        <m:sty m:val="p"/>
                      </m:rPr>
                      <w:rPr>
                        <w:rFonts w:ascii="Cambria Math" w:eastAsia="Cambria Math" w:hAnsi="Cambria Math"/>
                        <w:kern w:val="0"/>
                        <w:szCs w:val="20"/>
                      </w:rPr>
                      <m:t>exp</m:t>
                    </m:r>
                  </m:sub>
                </m:sSub>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n,j</m:t>
                            </m:r>
                          </m:e>
                        </m:d>
                      </m:sub>
                    </m:sSub>
                  </m:e>
                </m:d>
              </m:e>
            </m:func>
          </m:den>
        </m:f>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 xml:space="preserve">≥0,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s</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sub>
        </m:sSub>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(12)</w:t>
      </w:r>
    </w:p>
    <w:p w14:paraId="63776B5F" w14:textId="77777777" w:rsidR="00B14FA3" w:rsidRPr="00B14FA3" w:rsidRDefault="00B14FA3" w:rsidP="00B14FA3">
      <w:pPr>
        <w:spacing w:line="360" w:lineRule="auto"/>
      </w:pPr>
      <w:r w:rsidRPr="00B14FA3">
        <w:rPr>
          <w:szCs w:val="21"/>
        </w:rPr>
        <w:t>最终预测为</w:t>
      </w:r>
    </w:p>
    <w:p w14:paraId="775F089B"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Ŷ</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s∈S</m:t>
                </m:r>
              </m:e>
            </m:d>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b>
            </m:sSub>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(13)</w:t>
      </w:r>
    </w:p>
    <w:p w14:paraId="13DA0E22" w14:textId="77777777" w:rsidR="00B14FA3" w:rsidRPr="00B14FA3" w:rsidRDefault="00B14FA3" w:rsidP="00B14FA3">
      <w:pPr>
        <w:spacing w:line="360" w:lineRule="auto"/>
      </w:pPr>
      <w:r>
        <w:rPr>
          <w:szCs w:val="21"/>
        </w:rPr>
        <w:t>Softmax输出对应当前输入样本的一组尺度权重，3个权重之和为1，并在该窗口内由全部OD变量共享。固定等权消融不使用样本相关权重，而是将3个尺度统一设为1/3；其尺度集合、DLinear专家和训练过程保持一致。</w:t>
      </w:r>
      <w:r>
        <w:rPr>
          <w:szCs w:val="21"/>
        </w:rPr>
      </w:r>
      <w:r>
        <w:rPr>
          <w:szCs w:val="21"/>
        </w:rPr>
      </w:r>
      <w:r>
        <w:rPr>
          <w:i/>
          <w:iCs/>
          <w:szCs w:val="21"/>
        </w:rPr>
      </w:r>
      <w:r>
        <w:rPr>
          <w:i/>
          <w:iCs/>
          <w:szCs w:val="21"/>
          <w:vertAlign w:val="subscript"/>
        </w:rPr>
      </w:r>
      <w:r>
        <w:rPr>
          <w:szCs w:val="21"/>
        </w:rPr>
      </w:r>
      <w:r>
        <w:rPr>
          <w:szCs w:val="21"/>
        </w:rPr>
      </w:r>
    </w:p>
    <w:p w14:paraId="2F5CF084" w14:textId="77777777" w:rsidR="00B14FA3" w:rsidRPr="00B14FA3" w:rsidRDefault="00B14FA3" w:rsidP="00B14FA3">
      <w:pPr>
        <w:keepNext/>
        <w:keepLines/>
        <w:spacing w:before="80" w:after="20" w:line="415" w:lineRule="auto"/>
        <w:ind w:firstLine="0"/>
        <w:jc w:val="left"/>
        <w:outlineLvl w:val="1"/>
        <w:rPr>
          <w:rFonts w:eastAsia="黑体"/>
          <w:b/>
          <w:bCs/>
          <w:szCs w:val="32"/>
        </w:rPr>
      </w:pPr>
      <w:r>
        <w:rPr>
          <w:rFonts w:eastAsia="黑体"/>
          <w:b/>
          <w:bCs/>
          <w:szCs w:val="21"/>
        </w:rPr>
        <w:t xml:space="preserve">1.5 </w:t>
      </w:r>
      <w:r>
        <w:rPr>
          <w:rFonts w:eastAsia="黑体"/>
          <w:b/>
          <w:bCs/>
          <w:szCs w:val="21"/>
        </w:rPr>
        <w:t>训练目标与模型复杂度</w:t>
      </w:r>
    </w:p>
    <w:p w14:paraId="1B83BA58" w14:textId="77777777" w:rsidR="00B14FA3" w:rsidRPr="00B14FA3" w:rsidRDefault="00B14FA3" w:rsidP="00B14FA3">
      <w:pPr>
        <w:spacing w:line="360" w:lineRule="auto"/>
      </w:pPr>
      <w:r w:rsidRPr="00B14FA3">
        <w:rPr>
          <w:szCs w:val="21"/>
        </w:rPr>
        <w:t>模型以所有样本、预测时刻和</w:t>
      </w:r>
      <w:r w:rsidRPr="00B14FA3">
        <w:rPr>
          <w:szCs w:val="21"/>
        </w:rPr>
        <w:t>OD</w:t>
      </w:r>
      <w:r w:rsidRPr="00B14FA3">
        <w:rPr>
          <w:szCs w:val="21"/>
        </w:rPr>
        <w:t>变量上的均方误差为目标：</w:t>
      </w:r>
    </w:p>
    <w:p w14:paraId="279072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L</m:t>
            </m:r>
          </m:e>
          <m:sub>
            <m:d>
              <m:dPr>
                <m:begChr m:val="{"/>
                <m:endChr m:val="}"/>
                <m:ctrlPr>
                  <w:rPr>
                    <w:rFonts w:ascii="Cambria Math" w:eastAsia="Cambria Math" w:hAnsi="Cambria Math"/>
                    <w:i/>
                  </w:rPr>
                </m:ctrlPr>
              </m:dPr>
              <m:e>
                <m:r>
                  <m:rPr>
                    <m:sty m:val="p"/>
                  </m:rPr>
                  <w:rPr>
                    <w:rFonts w:ascii="Cambria Math" w:eastAsia="Cambria Math" w:hAnsi="Cambria Math"/>
                    <w:kern w:val="0"/>
                    <w:szCs w:val="20"/>
                  </w:rPr>
                  <m:t>MSE</m:t>
                </m:r>
              </m:e>
            </m:d>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NHC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n=1</m:t>
                </m:r>
              </m:e>
            </m:d>
          </m:sub>
          <m:sup>
            <m:d>
              <m:dPr>
                <m:begChr m:val="{"/>
                <m:endChr m:val="}"/>
                <m:ctrlPr>
                  <w:rPr>
                    <w:rFonts w:ascii="Cambria Math" w:eastAsia="Cambria Math" w:hAnsi="Cambria Math"/>
                    <w:i/>
                  </w:rPr>
                </m:ctrlPr>
              </m:dPr>
              <m:e>
                <m:r>
                  <w:rPr>
                    <w:rFonts w:ascii="Cambria Math" w:eastAsia="Cambria Math" w:hAnsi="Cambria Math"/>
                    <w:kern w:val="0"/>
                    <w:szCs w:val="20"/>
                  </w:rPr>
                  <m:t>N</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h=1</m:t>
                    </m:r>
                  </m:e>
                </m:d>
              </m:sub>
              <m:sup>
                <m:d>
                  <m:dPr>
                    <m:begChr m:val="{"/>
                    <m:endChr m:val="}"/>
                    <m:ctrlPr>
                      <w:rPr>
                        <w:rFonts w:ascii="Cambria Math" w:eastAsia="Cambria Math" w:hAnsi="Cambria Math"/>
                        <w:i/>
                      </w:rPr>
                    </m:ctrlPr>
                  </m:dPr>
                  <m:e>
                    <m:r>
                      <w:rPr>
                        <w:rFonts w:ascii="Cambria Math" w:eastAsia="Cambria Math" w:hAnsi="Cambria Math"/>
                        <w:kern w:val="0"/>
                        <w:szCs w:val="20"/>
                      </w:rPr>
                      <m:t>H</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c=1</m:t>
                        </m:r>
                      </m:e>
                    </m:d>
                  </m:sub>
                  <m:sup>
                    <m:d>
                      <m:dPr>
                        <m:begChr m:val="{"/>
                        <m:endChr m:val="}"/>
                        <m:ctrlPr>
                          <w:rPr>
                            <w:rFonts w:ascii="Cambria Math" w:eastAsia="Cambria Math" w:hAnsi="Cambria Math"/>
                            <w:i/>
                          </w:rPr>
                        </m:ctrlPr>
                      </m:dPr>
                      <m:e>
                        <m:r>
                          <w:rPr>
                            <w:rFonts w:ascii="Cambria Math" w:eastAsia="Cambria Math" w:hAnsi="Cambria Math"/>
                            <w:kern w:val="0"/>
                            <w:szCs w:val="20"/>
                          </w:rPr>
                          <m:t>C</m:t>
                        </m:r>
                      </m:e>
                    </m:d>
                    <m:sSup>
                      <m:sSupPr>
                        <m:ctrlPr>
                          <w:rPr>
                            <w:rFonts w:ascii="Cambria Math" w:eastAsia="Cambria Math" w:hAnsi="Cambria Math"/>
                            <w:i/>
                          </w:rPr>
                        </m:ctrlPr>
                      </m:sSupPr>
                      <m:e>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e>
                        </m:d>
                      </m:e>
                      <m:sup>
                        <m:r>
                          <w:rPr>
                            <w:rFonts w:ascii="Cambria Math" w:eastAsia="Cambria Math" w:hAnsi="Cambria Math"/>
                            <w:kern w:val="0"/>
                            <w:szCs w:val="20"/>
                          </w:rPr>
                          <m:t>2</m:t>
                        </m:r>
                      </m:sup>
                    </m:sSup>
                  </m:sup>
                </m:sSubSup>
              </m:sup>
            </m:sSubSup>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(14)</w:t>
      </w:r>
    </w:p>
    <w:p w14:paraId="6B94AC7B" w14:textId="77777777" w:rsidR="00B14FA3" w:rsidRPr="00B14FA3" w:rsidRDefault="00B14FA3" w:rsidP="00B14FA3">
      <w:pPr>
        <w:spacing w:line="360" w:lineRule="auto"/>
      </w:pPr>
      <w:r>
        <w:rPr>
          <w:szCs w:val="21"/>
        </w:rPr>
        <w:t>参数训练使用Adam优化器，模型选择依据为验证集MSE。DLinear、固定等权多尺度模型和本文方法的可训练参数量分别为4656、8208和8339。样本级路由模块相对固定等权模型增加131个参数。</w:t>
      </w:r>
      <w:r>
        <w:rPr>
          <w:szCs w:val="21"/>
        </w:rPr>
      </w:r>
      <w:r>
        <w:rPr>
          <w:szCs w:val="21"/>
        </w:rPr>
      </w:r>
      <w:r>
        <w:rPr>
          <w:szCs w:val="21"/>
        </w:rPr>
      </w:r>
      <w:r>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14:paraId="41A9DD19"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 w:val="24"/>
          <w:szCs w:val="32"/>
        </w:rPr>
        <w:t xml:space="preserve">2 </w:t>
      </w:r>
      <w:r w:rsidRPr="00B14FA3">
        <w:rPr>
          <w:rFonts w:ascii="Arial" w:eastAsia="黑体" w:hAnsi="Arial"/>
          <w:b/>
          <w:bCs/>
          <w:color w:val="000000"/>
          <w:sz w:val="24"/>
          <w:szCs w:val="32"/>
        </w:rPr>
        <w:t>实验与结果分析</w:t>
      </w:r>
    </w:p>
    <w:p w14:paraId="2C93F002"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2.1 </w:t>
      </w:r>
      <w:r>
        <w:rPr>
          <w:rFonts w:ascii="Arial" w:eastAsia="黑体" w:hAnsi="Arial"/>
          <w:b/>
          <w:bCs/>
          <w:color w:val="000000"/>
          <w:szCs w:val="21"/>
        </w:rPr>
        <w:t>数据集与实验设置</w:t>
      </w:r>
    </w:p>
    <w:p w14:paraId="426B5418" w14:textId="77777777" w:rsidR="00B14FA3" w:rsidRPr="00B14FA3" w:rsidRDefault="00B14FA3" w:rsidP="00B14FA3">
      <w:r>
        <w:rPr>
          <w:color w:val="000000"/>
          <w:szCs w:val="21"/>
        </w:rPr>
        <w:t>实验数据来自CESNET TS-Zoo[7]，选取其中的Abilene[8]和GÉANT[9] 1 h聚合流量矩阵。Abilene保留144维有效OD流量；GÉANT去除恒定通道后保留524维，OD变量数量更大。两个数据集分别按时间顺序以6∶2∶2划分，输入长度L=96，预测长度H=24，数据预处理与第1.1节相同。表1给出了具体数据规模和预测任务设置。</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A85EE9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1 </w:t>
      </w:r>
      <w:r>
        <w:rPr>
          <w:rFonts w:eastAsia="黑体"/>
          <w:b/>
          <w:color w:val="000000"/>
          <w:sz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bottom w:val="single" w:sz="8" w:space="0"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ind w:firstLine="0"/>
              <w:jc w:val="center"/>
            </w:pPr>
            <w:r>
              <w:rPr>
                <w:b/>
                <w:color w:val="000000"/>
                <w:szCs w:val="21"/>
              </w:rPr>
              <w:t>数据集</w:t>
            </w:r>
          </w:p>
        </w:tc>
        <w:tc>
          <w:tcPr>
            <w:tcW w:w="1100" w:type="dxa"/>
            <w:tcBorders>
              <w:bottom w:val="single" w:sz="8" w:space="0"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ind w:firstLine="0"/>
              <w:jc w:val="center"/>
            </w:pPr>
            <w:r>
              <w:rPr>
                <w:b/>
                <w:color w:val="000000"/>
                <w:szCs w:val="21"/>
              </w:rPr>
              <w:t>时间点</w:t>
            </w:r>
          </w:p>
        </w:tc>
        <w:tc>
          <w:tcPr>
            <w:tcW w:w="1100" w:type="dxa"/>
            <w:tcBorders>
              <w:bottom w:val="single" w:sz="8" w:space="0"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ind w:firstLine="0"/>
              <w:jc w:val="center"/>
            </w:pPr>
            <w:r>
              <w:rPr>
                <w:b/>
                <w:color w:val="000000"/>
                <w:szCs w:val="21"/>
              </w:rPr>
              <w:t>有效变量</w:t>
            </w:r>
            <w:r>
              <w:rPr>
                <w:b/>
                <w:color w:val="000000"/>
                <w:szCs w:val="21"/>
              </w:rPr>
              <w:t>C</w:t>
            </w:r>
          </w:p>
        </w:tc>
        <w:tc>
          <w:tcPr>
            <w:tcW w:w="2300" w:type="dxa"/>
            <w:tcBorders>
              <w:bottom w:val="single" w:sz="8" w:space="0"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bottom w:val="single" w:sz="8" w:space="0"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bottom w:val="single" w:sz="8" w:space="0"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ind w:firstLine="0"/>
              <w:jc w:val="center"/>
            </w:pPr>
            <w:r>
              <w:rPr>
                <w:b/>
                <w:color w:val="000000"/>
                <w:szCs w:val="21"/>
              </w:rPr>
              <w:t>L/H</w:t>
            </w:r>
          </w:p>
        </w:tc>
      </w:tr>
      <w:tr w:rsidR="00B10182" w14:paraId="60662C3F"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70B444C7" w14:textId="77777777" w:rsidR="00B14FA3" w:rsidRPr="00B14FA3" w:rsidRDefault="00B14FA3" w:rsidP="00B14FA3">
            <w:pPr>
              <w:keepNext/>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4EBF696C" w14:textId="77777777" w:rsidR="00B14FA3" w:rsidRPr="00B14FA3" w:rsidRDefault="00B14FA3" w:rsidP="00B14FA3">
            <w:pPr>
              <w:keepNext/>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203C3A10" w14:textId="77777777" w:rsidR="00B14FA3" w:rsidRPr="00B14FA3" w:rsidRDefault="00B14FA3" w:rsidP="00B14FA3">
            <w:pPr>
              <w:keepNext/>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418C4BE2" w14:textId="77777777" w:rsidR="00B14FA3" w:rsidRPr="00B14FA3" w:rsidRDefault="00B14FA3" w:rsidP="00B14FA3">
            <w:pPr>
              <w:keepNext/>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3E47EF4C" w14:textId="77777777" w:rsidR="00B14FA3" w:rsidRPr="00B14FA3" w:rsidRDefault="00B14FA3" w:rsidP="00B14FA3">
            <w:pPr>
              <w:keepNext/>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68B41A69" w14:textId="77777777" w:rsidR="00B14FA3" w:rsidRPr="00B14FA3" w:rsidRDefault="00B14FA3" w:rsidP="00B14FA3">
            <w:pPr>
              <w:keepNext/>
              <w:ind w:firstLine="0"/>
              <w:jc w:val="left"/>
            </w:pPr>
            <w:r>
              <w:rPr>
                <w:color w:val="000000"/>
                <w:szCs w:val="21"/>
              </w:rPr>
              <w:t>96/24</w:t>
            </w:r>
          </w:p>
        </w:tc>
      </w:tr>
      <w:tr w:rsidR="00B10182" w14:paraId="026887DD"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4ABC61A0" w14:textId="77777777" w:rsidR="00B14FA3" w:rsidRPr="00B14FA3" w:rsidRDefault="00B14FA3" w:rsidP="00B14FA3">
            <w:pPr>
              <w:keepNext/>
              <w:ind w:firstLine="0"/>
              <w:jc w:val="left"/>
            </w:pPr>
            <w:r>
              <w:rPr>
                <w:color w:val="000000"/>
                <w:szCs w:val="21"/>
              </w:rPr>
              <w:t>GÉANT</w:t>
            </w:r>
          </w:p>
        </w:tc>
        <w:tc>
          <w:tcPr>
            <w:tcW w:w="1100" w:type="dxa"/>
            <w:tcBorders>
              <w:top w:val="nil"/>
              <w:left w:val="nil"/>
              <w:bottom w:val="nil"/>
              <w:right w:val="nil"/>
            </w:tcBorders>
            <w:tcMar>
              <w:top w:w="55" w:type="dxa"/>
              <w:left w:w="70" w:type="dxa"/>
              <w:bottom w:w="55" w:type="dxa"/>
              <w:right w:w="70" w:type="dxa"/>
            </w:tcMar>
            <w:vAlign w:val="center"/>
            <w:hideMark/>
          </w:tcPr>
          <w:p w14:paraId="37FA10D1" w14:textId="77777777" w:rsidR="00B14FA3" w:rsidRPr="00B14FA3" w:rsidRDefault="00B14FA3" w:rsidP="00B14FA3">
            <w:pPr>
              <w:keepNext/>
              <w:ind w:firstLine="0"/>
              <w:jc w:val="left"/>
            </w:pPr>
            <w:r>
              <w:rPr>
                <w:color w:val="000000"/>
                <w:szCs w:val="21"/>
              </w:rPr>
              <w:t>2849</w:t>
            </w:r>
          </w:p>
        </w:tc>
        <w:tc>
          <w:tcPr>
            <w:tcW w:w="1100" w:type="dxa"/>
            <w:tcBorders>
              <w:top w:val="nil"/>
              <w:left w:val="nil"/>
              <w:bottom w:val="nil"/>
              <w:right w:val="nil"/>
            </w:tcBorders>
            <w:tcMar>
              <w:top w:w="55" w:type="dxa"/>
              <w:left w:w="70" w:type="dxa"/>
              <w:bottom w:w="55" w:type="dxa"/>
              <w:right w:w="70" w:type="dxa"/>
            </w:tcMar>
            <w:vAlign w:val="center"/>
            <w:hideMark/>
          </w:tcPr>
          <w:p w14:paraId="0F63E5AA" w14:textId="77777777" w:rsidR="00B14FA3" w:rsidRPr="00B14FA3" w:rsidRDefault="00B14FA3" w:rsidP="00B14FA3">
            <w:pPr>
              <w:keepNext/>
              <w:ind w:firstLine="0"/>
              <w:jc w:val="left"/>
            </w:pPr>
            <w:r>
              <w:rPr>
                <w:color w:val="000000"/>
                <w:szCs w:val="21"/>
              </w:rPr>
              <w:t>524</w:t>
            </w:r>
          </w:p>
        </w:tc>
        <w:tc>
          <w:tcPr>
            <w:tcW w:w="2300" w:type="dxa"/>
            <w:tcBorders>
              <w:top w:val="nil"/>
              <w:left w:val="nil"/>
              <w:bottom w:val="nil"/>
              <w:right w:val="nil"/>
            </w:tcBorders>
            <w:tcMar>
              <w:top w:w="55" w:type="dxa"/>
              <w:left w:w="70" w:type="dxa"/>
              <w:bottom w:w="55" w:type="dxa"/>
              <w:right w:w="70" w:type="dxa"/>
            </w:tcMar>
            <w:vAlign w:val="center"/>
            <w:hideMark/>
          </w:tcPr>
          <w:p w14:paraId="066E6608" w14:textId="77777777" w:rsidR="00B14FA3" w:rsidRPr="00B14FA3" w:rsidRDefault="00B14FA3" w:rsidP="00B14FA3">
            <w:pPr>
              <w:keepNext/>
              <w:ind w:firstLine="0"/>
              <w:jc w:val="left"/>
            </w:pPr>
            <w:r>
              <w:rPr>
                <w:color w:val="000000"/>
                <w:szCs w:val="21"/>
              </w:rPr>
              <w:t>1709/570/570</w:t>
            </w:r>
          </w:p>
        </w:tc>
        <w:tc>
          <w:tcPr>
            <w:tcW w:w="2300" w:type="dxa"/>
            <w:tcBorders>
              <w:top w:val="nil"/>
              <w:left w:val="nil"/>
              <w:bottom w:val="nil"/>
              <w:right w:val="nil"/>
            </w:tcBorders>
            <w:tcMar>
              <w:top w:w="55" w:type="dxa"/>
              <w:left w:w="70" w:type="dxa"/>
              <w:bottom w:w="55" w:type="dxa"/>
              <w:right w:w="70" w:type="dxa"/>
            </w:tcMar>
            <w:vAlign w:val="center"/>
            <w:hideMark/>
          </w:tcPr>
          <w:p w14:paraId="544CE805" w14:textId="77777777" w:rsidR="00B14FA3" w:rsidRPr="00B14FA3" w:rsidRDefault="00B14FA3" w:rsidP="00B14FA3">
            <w:pPr>
              <w:keepNext/>
              <w:ind w:firstLine="0"/>
              <w:jc w:val="left"/>
            </w:pPr>
            <w:r>
              <w:rPr>
                <w:color w:val="000000"/>
                <w:szCs w:val="21"/>
              </w:rPr>
              <w:t>1590/451/451</w:t>
            </w:r>
          </w:p>
        </w:tc>
        <w:tc>
          <w:tcPr>
            <w:tcW w:w="1000" w:type="dxa"/>
            <w:tcBorders>
              <w:top w:val="nil"/>
              <w:left w:val="nil"/>
              <w:bottom w:val="nil"/>
              <w:right w:val="nil"/>
            </w:tcBorders>
            <w:tcMar>
              <w:top w:w="55" w:type="dxa"/>
              <w:left w:w="70" w:type="dxa"/>
              <w:bottom w:w="55" w:type="dxa"/>
              <w:right w:w="70" w:type="dxa"/>
            </w:tcMar>
            <w:vAlign w:val="center"/>
            <w:hideMark/>
          </w:tcPr>
          <w:p w14:paraId="256DDA9D" w14:textId="77777777" w:rsidR="00B14FA3" w:rsidRPr="00B14FA3" w:rsidRDefault="00B14FA3" w:rsidP="00B14FA3">
            <w:pPr>
              <w:keepNext/>
              <w:ind w:firstLine="0"/>
              <w:jc w:val="left"/>
            </w:pPr>
            <w:r>
              <w:rPr>
                <w:color w:val="000000"/>
                <w:szCs w:val="21"/>
              </w:rPr>
              <w:t>96/24</w:t>
            </w:r>
          </w:p>
        </w:tc>
      </w:tr>
    </w:tbl>
    <w:p w14:paraId="7F30E00E" w14:textId="77777777" w:rsidR="00B14FA3" w:rsidRPr="00B14FA3" w:rsidRDefault="00B14FA3" w:rsidP="00B14FA3">
      <w:r>
        <w:rPr>
          <w:color w:val="000000"/>
          <w:szCs w:val="21"/>
        </w:rPr>
        <w:t>所有对比模型使用相同的数据划分、输入长度和评价指标，批量大小均为16。DLinear、固定等权多尺度模型和本文方法最多训练30轮，LightTS最多训练50轮，各模型均以验证集MSE选择结果。外部基线比较使用随机种子42—44；核心模型另外在42—49共8个随机种子下重复训练。</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111070D4"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2.2 </w:t>
      </w:r>
      <w:r>
        <w:rPr>
          <w:rFonts w:ascii="Arial" w:eastAsia="黑体" w:hAnsi="Arial"/>
          <w:b/>
          <w:bCs/>
          <w:color w:val="000000"/>
          <w:szCs w:val="21"/>
        </w:rPr>
        <w:t>对比模型与评价指标</w:t>
      </w:r>
    </w:p>
    <w:p w14:paraId="3EC5233F" w14:textId="77777777" w:rsidR="00B14FA3" w:rsidRPr="00B14FA3" w:rsidRDefault="00B14FA3" w:rsidP="00B14FA3">
      <w:r>
        <w:rPr>
          <w:color w:val="000000"/>
          <w:szCs w:val="21"/>
        </w:rPr>
        <w:t>实验中的对比对象包括3类：单尺度DLinear、LightTS和固定等权多尺度模型。DLinear与LightTS用于外部基线比较；固定等权多尺度模型与本文方法使用相同的尺度集合{1,2,4}和DLinear专家，但不使用路由网络，3个尺度始终以1/3权重融合。</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BE60480" w14:textId="77777777" w:rsidR="00B14FA3" w:rsidRPr="00B14FA3" w:rsidRDefault="00B14FA3" w:rsidP="00B14FA3">
      <w:r>
        <w:rPr>
          <w:color w:val="000000"/>
          <w:szCs w:val="21"/>
        </w:rPr>
        <w:t>预测误差采用均方误差（MSE）、平均绝对误差（MAE）和均方根误差（RMSE）衡量。MSE按式（14）计算，MAE和RMSE分别为</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2476975"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MAE=</m:t>
        </m:r>
        <m:d>
          <m:dPr>
            <m:ctrlPr>
              <w:rPr>
                <w:rFonts w:ascii="Cambria Math" w:eastAsia="Cambria Math" w:hAnsi="Cambria Math"/>
                <w:i/>
                <w:kern w:val="0"/>
                <w:szCs w:val="20"/>
              </w:rPr>
            </m:ctrlPr>
          </m:dPr>
          <m:e>
            <m:f>
              <m:fPr>
                <m:ctrlPr>
                  <w:rPr>
                    <w:rFonts w:ascii="Cambria Math" w:eastAsia="Cambria Math" w:hAnsi="Cambria Math"/>
                    <w:i/>
                    <w:kern w:val="0"/>
                    <w:szCs w:val="20"/>
                  </w:rPr>
                </m:ctrlPr>
              </m:fPr>
              <m:num>
                <m:r>
                  <w:rPr>
                    <w:rFonts w:ascii="Cambria Math" w:eastAsia="Cambria Math" w:hAnsi="Cambria Math"/>
                    <w:kern w:val="0"/>
                    <w:szCs w:val="20"/>
                  </w:rPr>
                  <m:t>1</m:t>
                </m:r>
              </m:num>
              <m:den>
                <m:sSub>
                  <m:sSubPr>
                    <m:ctrlPr>
                      <w:rPr>
                        <w:rFonts w:ascii="Cambria Math" w:eastAsia="Cambria Math" w:hAnsi="Cambria Math"/>
                        <w:i/>
                        <w:kern w:val="0"/>
                        <w:szCs w:val="20"/>
                      </w:rPr>
                    </m:ctrlPr>
                  </m:sSubPr>
                  <m:e>
                    <m:r>
                      <w:rPr>
                        <w:rFonts w:ascii="Cambria Math" w:eastAsia="Cambria Math" w:hAnsi="Cambria Math"/>
                        <w:kern w:val="0"/>
                        <w:szCs w:val="20"/>
                      </w:rPr>
                      <m:t>N</m:t>
                    </m:r>
                  </m:e>
                  <m:sub>
                    <m:d>
                      <m:dPr>
                        <m:begChr m:val="{"/>
                        <m:endChr m:val="}"/>
                        <m:ctrlPr>
                          <w:rPr>
                            <w:rFonts w:ascii="Cambria Math" w:eastAsia="Cambria Math" w:hAnsi="Cambria Math"/>
                            <w:i/>
                            <w:kern w:val="0"/>
                            <w:szCs w:val="20"/>
                          </w:rPr>
                        </m:ctrlPr>
                      </m:dPr>
                      <m:e>
                        <m:r>
                          <m:rPr>
                            <m:sty m:val="p"/>
                          </m:rPr>
                          <w:rPr>
                            <w:rFonts w:ascii="Cambria Math" w:eastAsia="Cambria Math" w:hAnsi="Cambria Math"/>
                            <w:kern w:val="0"/>
                            <w:szCs w:val="20"/>
                          </w:rPr>
                          <m:t>te</m:t>
                        </m:r>
                      </m:e>
                    </m:d>
                    <m:r>
                      <w:rPr>
                        <w:rFonts w:ascii="Cambria Math" w:eastAsia="Cambria Math" w:hAnsi="Cambria Math"/>
                        <w:kern w:val="0"/>
                        <w:szCs w:val="20"/>
                      </w:rPr>
                      <m:t>HC</m:t>
                    </m:r>
                  </m:sub>
                </m:sSub>
              </m:den>
            </m:f>
          </m:e>
        </m:d>
        <m:sSub>
          <m:sSubPr>
            <m:ctrlPr>
              <w:rPr>
                <w:rFonts w:ascii="Cambria Math" w:eastAsia="Cambria Math" w:hAnsi="Cambria Math"/>
                <w:i/>
                <w:kern w:val="0"/>
                <w:szCs w:val="20"/>
              </w:rPr>
            </m:ctrlPr>
          </m:sSubPr>
          <m:e>
            <m:r>
              <w:rPr>
                <w:rFonts w:ascii="Cambria Math" w:eastAsia="Cambria Math" w:hAnsi="Cambria Math"/>
                <w:kern w:val="0"/>
                <w:szCs w:val="20"/>
              </w:rPr>
              <m:t>Σ</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d>
              <m:dPr>
                <m:begChr m:val="|"/>
                <m:endChr m:val="|"/>
                <m:ctrlPr>
                  <w:rPr>
                    <w:rFonts w:ascii="Cambria Math" w:eastAsia="Cambria Math" w:hAnsi="Cambria Math"/>
                    <w:i/>
                    <w:kern w:val="0"/>
                    <w:szCs w:val="20"/>
                  </w:rPr>
                </m:ctrlPr>
              </m:dPr>
              <m:e>
                <m:sSub>
                  <m:sSubPr>
                    <m:ctrlPr>
                      <w:rPr>
                        <w:rFonts w:ascii="Cambria Math" w:eastAsia="Cambria Math" w:hAnsi="Cambria Math"/>
                        <w:i/>
                        <w:kern w:val="0"/>
                        <w:szCs w:val="20"/>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kern w:val="0"/>
                        <w:szCs w:val="20"/>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e>
            </m:d>
          </m:sub>
        </m:sSub>
        <m:r>
          <w:rPr>
            <w:rFonts w:ascii="Cambria Math" w:eastAsia="Cambria Math" w:hAnsi="Cambria Math"/>
            <w:kern w:val="0"/>
            <w:szCs w:val="20"/>
          </w:rPr>
          <m:t>,</m:t>
        </m:r>
      </m:oMath>
      <w:r w:rsidRPr="00B14FA3">
        <w:rPr>
          <w:color w:val="000000"/>
          <w:kern w:val="0"/>
          <w:szCs w:val="20"/>
        </w:rPr>
        <w:tab/>
        <w:t>(15)</w:t>
      </w:r>
    </w:p>
    <w:p w14:paraId="78A587D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RMSE=</m:t>
        </m:r>
        <m:rad>
          <m:radPr>
            <m:degHide m:val="1"/>
            <m:ctrlPr>
              <w:rPr>
                <w:rFonts w:ascii="Cambria Math" w:eastAsia="Cambria Math" w:hAnsi="Cambria Math"/>
                <w:i/>
                <w:kern w:val="0"/>
                <w:szCs w:val="20"/>
              </w:rPr>
            </m:ctrlPr>
          </m:radPr>
          <m:deg/>
          <m:e>
            <m:r>
              <m:rPr>
                <m:sty m:val="p"/>
              </m:rPr>
              <w:rPr>
                <w:rFonts w:ascii="Cambria Math" w:eastAsia="Cambria Math" w:hAnsi="Cambria Math"/>
                <w:kern w:val="0"/>
                <w:szCs w:val="20"/>
              </w:rPr>
              <m:t>MSE</m:t>
            </m:r>
          </m:e>
        </m:rad>
        <m:r>
          <w:rPr>
            <w:rFonts w:ascii="Cambria Math" w:eastAsia="Cambria Math" w:hAnsi="Cambria Math"/>
            <w:kern w:val="0"/>
            <w:szCs w:val="20"/>
          </w:rPr>
          <m:t>.</m:t>
        </m:r>
      </m:oMath>
      <w:r w:rsidRPr="00B14FA3">
        <w:rPr>
          <w:color w:val="000000"/>
          <w:kern w:val="0"/>
          <w:szCs w:val="20"/>
        </w:rPr>
        <w:tab/>
        <w:t>(16)</w:t>
      </w:r>
    </w:p>
    <w:p w14:paraId="015A2BBD" w14:textId="77777777" w:rsidR="00B14FA3" w:rsidRPr="00B14FA3" w:rsidRDefault="00B14FA3" w:rsidP="00B14FA3">
      <w:r>
        <w:rPr>
          <w:color w:val="000000"/>
          <w:szCs w:val="21"/>
        </w:rPr>
        <w:t>MSE、MAE和RMSE均基于标准化后的数据计算。正文比较时主要采用MSE和MAE；表2统计随机种子42—44的均值±标准差，表3统计随机种子42—49的均值±标准差。</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B4CAE4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2.3 </w:t>
      </w:r>
      <w:r>
        <w:rPr>
          <w:rFonts w:ascii="Arial" w:eastAsia="黑体" w:hAnsi="Arial"/>
          <w:b/>
          <w:bCs/>
          <w:color w:val="000000"/>
          <w:szCs w:val="21"/>
        </w:rPr>
        <w:t>两数据集外部基线比较</w:t>
      </w:r>
    </w:p>
    <w:p w14:paraId="47C6B19C" w14:textId="77777777" w:rsidR="00B14FA3" w:rsidRPr="00B14FA3" w:rsidRDefault="00B14FA3" w:rsidP="00B14FA3">
      <w:r>
        <w:rPr>
          <w:color w:val="000000"/>
          <w:szCs w:val="21"/>
        </w:rPr>
        <w:t>表2中，本文方法在Abilene上的MSE为0.186，在GÉANT上为0.434。对应DLinear，两项结果分别降低4.06%和4.43%；对应LightTS，分别降低29.89%和46.83%。MAE也呈现相同的变化方向。</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C988E8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2 </w:t>
      </w:r>
      <w:r>
        <w:rPr>
          <w:rFonts w:eastAsia="黑体"/>
          <w:b/>
          <w:color w:val="000000"/>
          <w:sz w:val="18"/>
        </w:rPr>
        <w:t>三随机种子外部基线比较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ind w:firstLine="0"/>
              <w:jc w:val="center"/>
            </w:pPr>
            <w:r>
              <w:rPr>
                <w:b/>
                <w:color w:val="000000"/>
                <w:szCs w:val="21"/>
              </w:rPr>
              <w:t>MAE</w:t>
            </w:r>
          </w:p>
        </w:tc>
      </w:tr>
      <w:tr w:rsidR="00B10182" w14:paraId="7BD3F36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270E4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05C29C9"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4ABBFC5B"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28CCFDF6"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B37841B" w14:textId="77777777" w:rsidR="00B14FA3" w:rsidRPr="00B14FA3" w:rsidRDefault="00B14FA3" w:rsidP="00B14FA3">
            <w:pPr>
              <w:keepNext/>
              <w:ind w:firstLine="0"/>
              <w:jc w:val="left"/>
            </w:pPr>
            <w:r>
              <w:rPr>
                <w:color w:val="000000"/>
                <w:szCs w:val="21"/>
              </w:rPr>
              <w:t>0.188±0.009</w:t>
            </w:r>
          </w:p>
        </w:tc>
      </w:tr>
      <w:tr w:rsidR="00B10182" w14:paraId="30BC0D5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D2E5A7E"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65248BF"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DBDB155" w14:textId="77777777" w:rsidR="00B14FA3" w:rsidRPr="00B14FA3" w:rsidRDefault="00B14FA3" w:rsidP="00B14FA3">
            <w:pPr>
              <w:keepNext/>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514903F0" w14:textId="77777777" w:rsidR="00B14FA3" w:rsidRPr="00B14FA3" w:rsidRDefault="00B14FA3" w:rsidP="00B14FA3">
            <w:pPr>
              <w:keepNext/>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7928E3E7" w14:textId="77777777" w:rsidR="00B14FA3" w:rsidRPr="00B14FA3" w:rsidRDefault="00B14FA3" w:rsidP="00B14FA3">
            <w:pPr>
              <w:keepNext/>
              <w:ind w:firstLine="0"/>
              <w:jc w:val="left"/>
            </w:pPr>
            <w:r>
              <w:rPr>
                <w:color w:val="000000"/>
                <w:szCs w:val="21"/>
              </w:rPr>
              <w:t>0.204±0.008</w:t>
            </w:r>
          </w:p>
        </w:tc>
      </w:tr>
      <w:tr w:rsidR="00B10182" w14:paraId="346D7B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9582576"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5A1E076"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2E2CB203"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3B5D7D6" w14:textId="77777777" w:rsidR="00B14FA3" w:rsidRPr="00B14FA3" w:rsidRDefault="00B14FA3" w:rsidP="00B14FA3">
            <w:pPr>
              <w:keepNext/>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7225EFCD" w14:textId="77777777" w:rsidR="00B14FA3" w:rsidRPr="00B14FA3" w:rsidRDefault="00B14FA3" w:rsidP="00B14FA3">
            <w:pPr>
              <w:keepNext/>
              <w:ind w:firstLine="0"/>
              <w:jc w:val="left"/>
            </w:pPr>
            <w:r>
              <w:rPr>
                <w:color w:val="000000"/>
                <w:szCs w:val="21"/>
              </w:rPr>
              <w:t>0.168±0.001</w:t>
            </w:r>
          </w:p>
        </w:tc>
      </w:tr>
      <w:tr w:rsidR="00B10182" w14:paraId="08C5DFD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18FA40"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4445469C"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0B2B4F3"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52D4A5CB" w14:textId="77777777" w:rsidR="00B14FA3" w:rsidRPr="00B14FA3" w:rsidRDefault="00B14FA3" w:rsidP="00B14FA3">
            <w:pPr>
              <w:keepNext/>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42E93C94" w14:textId="77777777" w:rsidR="00B14FA3" w:rsidRPr="00B14FA3" w:rsidRDefault="00B14FA3" w:rsidP="00B14FA3">
            <w:pPr>
              <w:keepNext/>
              <w:ind w:firstLine="0"/>
              <w:jc w:val="left"/>
            </w:pPr>
            <w:r>
              <w:rPr>
                <w:color w:val="000000"/>
                <w:szCs w:val="21"/>
              </w:rPr>
              <w:t>0.383±0.006</w:t>
            </w:r>
          </w:p>
        </w:tc>
      </w:tr>
      <w:tr w:rsidR="00B10182" w14:paraId="14CFFB90"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A283DE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4DB8CC0"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5B386AD" w14:textId="77777777" w:rsidR="00B14FA3" w:rsidRPr="00B14FA3" w:rsidRDefault="00B14FA3" w:rsidP="00B14FA3">
            <w:pPr>
              <w:keepNext/>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63428E63" w14:textId="77777777" w:rsidR="00B14FA3" w:rsidRPr="00B14FA3" w:rsidRDefault="00B14FA3" w:rsidP="00B14FA3">
            <w:pPr>
              <w:keepNext/>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0B5D4941" w14:textId="77777777" w:rsidR="00B14FA3" w:rsidRPr="00B14FA3" w:rsidRDefault="00B14FA3" w:rsidP="00B14FA3">
            <w:pPr>
              <w:keepNext/>
              <w:ind w:firstLine="0"/>
              <w:jc w:val="left"/>
            </w:pPr>
            <w:r>
              <w:rPr>
                <w:color w:val="000000"/>
                <w:szCs w:val="21"/>
              </w:rPr>
              <w:t>0.523±0.014</w:t>
            </w:r>
          </w:p>
        </w:tc>
      </w:tr>
      <w:tr w:rsidR="00B10182" w14:paraId="72F28BC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9F2789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608F1F4"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1036E0DB"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45CE26A" w14:textId="77777777" w:rsidR="00B14FA3" w:rsidRPr="00B14FA3" w:rsidRDefault="00B14FA3" w:rsidP="00B14FA3">
            <w:pPr>
              <w:keepNext/>
              <w:ind w:firstLine="0"/>
              <w:jc w:val="left"/>
            </w:pPr>
            <w:r>
              <w:rPr>
                <w:color w:val="000000"/>
                <w:szCs w:val="21"/>
              </w:rPr>
              <w:t>0.434±0.051</w:t>
            </w:r>
          </w:p>
        </w:tc>
        <w:tc>
          <w:tcPr>
            <w:tcW w:w="2000" w:type="dxa"/>
            <w:tcBorders>
              <w:top w:val="nil"/>
              <w:left w:val="nil"/>
              <w:bottom w:val="nil"/>
              <w:right w:val="nil"/>
            </w:tcBorders>
            <w:tcMar>
              <w:top w:w="55" w:type="dxa"/>
              <w:left w:w="70" w:type="dxa"/>
              <w:bottom w:w="55" w:type="dxa"/>
              <w:right w:w="70" w:type="dxa"/>
            </w:tcMar>
            <w:vAlign w:val="center"/>
            <w:hideMark/>
          </w:tcPr>
          <w:p w14:paraId="1A66C078" w14:textId="77777777" w:rsidR="00B14FA3" w:rsidRPr="00B14FA3" w:rsidRDefault="00B14FA3" w:rsidP="00B14FA3">
            <w:pPr>
              <w:keepNext/>
              <w:ind w:firstLine="0"/>
              <w:jc w:val="left"/>
            </w:pPr>
            <w:r>
              <w:rPr>
                <w:color w:val="000000"/>
                <w:szCs w:val="21"/>
              </w:rPr>
              <w:t>0.370±0.031</w:t>
            </w:r>
          </w:p>
        </w:tc>
      </w:tr>
    </w:tbl>
    <w:p w14:paraId="5DE8C5AD" w14:textId="77777777" w:rsidR="00B14FA3" w:rsidRPr="00B14FA3" w:rsidRDefault="00B14FA3" w:rsidP="00B14FA3">
      <w:r>
        <w:rPr>
          <w:color w:val="000000"/>
          <w:szCs w:val="21"/>
        </w:rPr>
        <w:t>图2给出了随机种子42—44的单次结果。Abilene的3次实验中，本文方法的MSE和MAE均低于DLinear和LightTS。GÉANT上，相对LightTS的3次结果均较低；与DLinear比较时存在个别随机种子的波动，但3次结果的平均值仍低于DLinear。</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keepNext/>
      </w:pPr>
      <w:r>
        <w:drawing>
          <wp:inline xmlns:a="http://schemas.openxmlformats.org/drawingml/2006/main" xmlns:pic="http://schemas.openxmlformats.org/drawingml/2006/picture">
            <wp:extent cx="5074920" cy="3749116"/>
            <wp:docPr id="23" name="图2 三随机种子外部基线配对结果" descr="Abilene和GÉANT上DLinear、LightTS与本文方法在seed42至44下的MSE和MAE配对结果；方形、圆形和三角形分别表示seed42、43和44，实线连接三种子均值。"/>
            <wp:cNvGraphicFramePr>
              <a:graphicFrameLocks noChangeAspect="1"/>
            </wp:cNvGraphicFramePr>
            <a:graphic>
              <a:graphicData uri="http://schemas.openxmlformats.org/drawingml/2006/picture">
                <pic:pic>
                  <pic:nvPicPr>
                    <pic:cNvPr id="0" name="fig2_external_baseline_reduction_color.png"/>
                    <pic:cNvPicPr/>
                  </pic:nvPicPr>
                  <pic:blipFill>
                    <a:blip r:embed="rId15"/>
                    <a:stretch>
                      <a:fillRect/>
                    </a:stretch>
                  </pic:blipFill>
                  <pic:spPr>
                    <a:xfrm>
                      <a:off x="0" y="0"/>
                      <a:ext cx="5074920" cy="3749116"/>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图2 Abilene与GÉANT上三随机种子外部基线配对结果</w:t>
      </w:r>
    </w:p>
    <w:p w14:paraId="45F47835"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2.4 </w:t>
      </w:r>
      <w:r>
        <w:rPr>
          <w:rFonts w:ascii="Arial" w:eastAsia="黑体" w:hAnsi="Arial"/>
          <w:b/>
          <w:bCs/>
          <w:color w:val="000000"/>
          <w:szCs w:val="21"/>
        </w:rPr>
        <w:t>八随机种子核心消融与稳定性</w:t>
      </w:r>
    </w:p>
    <w:p w14:paraId="4EB4547B" w14:textId="77777777" w:rsidR="00B14FA3" w:rsidRPr="00B14FA3" w:rsidRDefault="00B14FA3" w:rsidP="00B14FA3">
      <w:r>
        <w:rPr>
          <w:color w:val="000000"/>
          <w:szCs w:val="21"/>
        </w:rPr>
        <w:t>表3使用随机种子42—49重新统计核心模型。本文方法相对DLinear在Abilene和GÉANT上的平均MSE分别降低2.77%和2.37%。固定等权模型已包含相同的3个DLinear尺度专家，在此基础上，本文方法的MSE仍分别降低1.67%和4.68%。</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719DA9B"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3 </w:t>
      </w:r>
      <w:r>
        <w:rPr>
          <w:rFonts w:eastAsia="黑体"/>
          <w:b/>
          <w:color w:val="000000"/>
          <w:sz w:val="18"/>
        </w:rPr>
        <w:t>八随机种子核心模型结果</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ind w:firstLine="0"/>
              <w:jc w:val="center"/>
            </w:pPr>
            <w:r>
              <w:rPr>
                <w:b/>
                <w:color w:val="000000"/>
                <w:szCs w:val="21"/>
              </w:rPr>
              <w:t>MAE</w:t>
            </w:r>
          </w:p>
        </w:tc>
      </w:tr>
      <w:tr w:rsidR="00B10182" w14:paraId="74FD5207"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E7AD1C0"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8CDB700"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6F24568"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75D686B"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057BAF36" w14:textId="77777777" w:rsidR="00B14FA3" w:rsidRPr="00B14FA3" w:rsidRDefault="00B14FA3" w:rsidP="00B14FA3">
            <w:pPr>
              <w:keepNext/>
              <w:ind w:firstLine="0"/>
              <w:jc w:val="left"/>
            </w:pPr>
            <w:r>
              <w:rPr>
                <w:color w:val="000000"/>
                <w:szCs w:val="21"/>
              </w:rPr>
              <w:t>0.189±0.008</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0.191±0.006</w:t>
            </w:r>
          </w:p>
        </w:tc>
      </w:tr>
      <w:tr w:rsidR="00B10182" w14:paraId="23DB7E9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A4CCFA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FC76C3A"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08F9AC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031967D" w14:textId="77777777" w:rsidR="00B14FA3" w:rsidRPr="00B14FA3" w:rsidRDefault="00B14FA3" w:rsidP="00B14FA3">
            <w:pPr>
              <w:keepNext/>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19671D4B" w14:textId="77777777" w:rsidR="00B14FA3" w:rsidRPr="00B14FA3" w:rsidRDefault="00B14FA3" w:rsidP="00B14FA3">
            <w:pPr>
              <w:keepNext/>
              <w:ind w:firstLine="0"/>
              <w:jc w:val="left"/>
            </w:pPr>
            <w:r>
              <w:rPr>
                <w:color w:val="000000"/>
                <w:szCs w:val="21"/>
              </w:rPr>
              <w:t>0.173±0.008</w:t>
            </w:r>
          </w:p>
        </w:tc>
      </w:tr>
      <w:tr w:rsidR="00B10182" w14:paraId="56D06F3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6945779"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3EC9705"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566A8164"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EF2CCCB" w14:textId="77777777" w:rsidR="00B14FA3" w:rsidRPr="00B14FA3" w:rsidRDefault="00B14FA3" w:rsidP="00B14FA3">
            <w:pPr>
              <w:keepNext/>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53A75E10" w14:textId="77777777" w:rsidR="00B14FA3" w:rsidRPr="00B14FA3" w:rsidRDefault="00B14FA3" w:rsidP="00B14FA3">
            <w:pPr>
              <w:keepNext/>
              <w:ind w:firstLine="0"/>
              <w:jc w:val="left"/>
            </w:pPr>
            <w:r>
              <w:rPr>
                <w:color w:val="000000"/>
                <w:szCs w:val="21"/>
              </w:rPr>
              <w:t>0.371±0.011</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25E1F67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BD8356"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B646072"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4D4C5F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1BB5253" w14:textId="77777777" w:rsidR="00B14FA3" w:rsidRPr="00B14FA3" w:rsidRDefault="00B14FA3" w:rsidP="00B14FA3">
            <w:pPr>
              <w:keepNext/>
              <w:ind w:firstLine="0"/>
              <w:jc w:val="left"/>
            </w:pPr>
            <w:r>
              <w:rPr>
                <w:color w:val="000000"/>
                <w:szCs w:val="21"/>
              </w:rPr>
              <w:t>0.426±0.029</w:t>
            </w:r>
          </w:p>
        </w:tc>
        <w:tc>
          <w:tcPr>
            <w:tcW w:w="2000" w:type="dxa"/>
            <w:tcBorders>
              <w:top w:val="nil"/>
              <w:left w:val="nil"/>
              <w:bottom w:val="nil"/>
              <w:right w:val="nil"/>
            </w:tcBorders>
            <w:tcMar>
              <w:top w:w="55" w:type="dxa"/>
              <w:left w:w="70" w:type="dxa"/>
              <w:bottom w:w="55" w:type="dxa"/>
              <w:right w:w="70" w:type="dxa"/>
            </w:tcMar>
            <w:vAlign w:val="center"/>
            <w:hideMark/>
          </w:tcPr>
          <w:p w14:paraId="2A51F99E" w14:textId="77777777" w:rsidR="00B14FA3" w:rsidRPr="00B14FA3" w:rsidRDefault="00B14FA3" w:rsidP="00B14FA3">
            <w:pPr>
              <w:keepNext/>
              <w:ind w:firstLine="0"/>
              <w:jc w:val="left"/>
            </w:pPr>
            <w:r>
              <w:rPr>
                <w:color w:val="000000"/>
                <w:szCs w:val="21"/>
              </w:rPr>
              <w:t>0.366±0.018</w:t>
            </w:r>
          </w:p>
        </w:tc>
      </w:tr>
    </w:tbl>
    <w:p w14:paraId="68B92BCA" w14:textId="77777777" w:rsidR="00B14FA3" w:rsidRPr="00B14FA3" w:rsidRDefault="00B14FA3" w:rsidP="00B14FA3">
      <w:r>
        <w:rPr>
          <w:color w:val="000000"/>
          <w:szCs w:val="21"/>
        </w:rPr>
        <w:t>图3采用同一随机种子进行配对比较。Abilene的8个随机种子中，本文方法有6次取得更低MSE；GÉANT中有7次。两个数据集的平均ΔMSE均为正。</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2D1C830" w14:textId="77777777" w:rsidR="00B14FA3" w:rsidRPr="00B14FA3" w:rsidRDefault="00B14FA3" w:rsidP="00B14FA3">
      <w:pPr>
        <w:keepNext/>
        <w:spacing w:before="60"/>
        <w:ind w:firstLine="0"/>
        <w:jc w:val="center"/>
      </w:pPr>
      <w:r w:rsidRPr="00B14FA3">
        <w:rPr>
          <w:noProof/>
        </w:rPr>
        <w:drawing>
          <wp:inline distT="0" distB="0" distL="0" distR="0" wp14:anchorId="3E6F0209" wp14:editId="369FDCB1">
            <wp:extent cx="5760720" cy="3852073"/>
            <wp:effectExtent l="0" t="0" r="0" b="9525"/>
            <wp:docPr id="20" name="图片 2" descr="已检查的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已检查的图像"/>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3852073"/>
                    </a:xfrm>
                    <a:prstGeom prst="rect">
                      <a:avLst/>
                    </a:prstGeom>
                    <a:noFill/>
                    <a:ln>
                      <a:noFill/>
                    </a:ln>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图3 固定等权与自适应权重的八随机种子配对MSE及配对差值分布</w:t>
      </w:r>
      <w:r>
        <w:rPr>
          <w:rFonts w:eastAsia="黑体"/>
          <w:b/>
          <w:sz w:val="18"/>
          <w:szCs w:val="18"/>
        </w:rPr>
      </w:r>
      <w:r>
        <w:rPr>
          <w:rFonts w:eastAsia="黑体"/>
          <w:b/>
          <w:sz w:val="18"/>
          <w:szCs w:val="18"/>
        </w:rPr>
      </w:r>
      <w:r>
        <w:rPr>
          <w:rFonts w:eastAsia="黑体"/>
          <w:b/>
          <w:sz w:val="18"/>
          <w:szCs w:val="18"/>
        </w:rPr>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2.5 路由权重分析</w:t>
      </w:r>
      <w:r>
        <w:rPr>
          <w:rFonts w:ascii="Arial" w:eastAsia="黑体" w:hAnsi="Arial"/>
          <w:b/>
          <w:bCs/>
          <w:color w:val="000000"/>
          <w:szCs w:val="21"/>
        </w:rPr>
      </w:r>
    </w:p>
    <w:p w14:paraId="0C8325AF" w14:textId="77777777" w:rsidR="00B14FA3" w:rsidRPr="00B14FA3" w:rsidRDefault="00B14FA3" w:rsidP="00B14FA3">
      <w:r>
        <w:rPr>
          <w:color w:val="000000"/>
          <w:szCs w:val="21"/>
        </w:rPr>
        <w:t>图4统计随机种子42—49下全部测试窗口的尺度权重，用于查看路由网络在测试集上的实际权重分配。固定等权模型的权重恒为1/3，而本文方法的权重随输入窗口变化。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pPr>
      <w:r>
        <w:drawing>
          <wp:inline xmlns:a="http://schemas.openxmlformats.org/drawingml/2006/main" xmlns:pic="http://schemas.openxmlformats.org/drawingml/2006/picture">
            <wp:extent cx="5760720" cy="2566165"/>
            <wp:docPr id="22" name="Picture 22"/>
            <wp:cNvGraphicFramePr>
              <a:graphicFrameLocks noChangeAspect="1"/>
            </wp:cNvGraphicFramePr>
            <a:graphic>
              <a:graphicData uri="http://schemas.openxmlformats.org/drawingml/2006/picture">
                <pic:pic>
                  <pic:nvPicPr>
                    <pic:cNvPr id="0" name="fig3_router_weight_distribution_color.png"/>
                    <pic:cNvPicPr/>
                  </pic:nvPicPr>
                  <pic:blipFill>
                    <a:blip r:embed="rId13"/>
                    <a:stretch>
                      <a:fillRect/>
                    </a:stretch>
                  </pic:blipFill>
                  <pic:spPr>
                    <a:xfrm>
                      <a:off x="0" y="0"/>
                      <a:ext cx="5760720" cy="2566165"/>
                    </a:xfrm>
                    <a:prstGeom prst="rect"/>
                  </pic:spPr>
                </pic:pic>
              </a:graphicData>
            </a:graphic>
          </wp:inline>
        </w:drawing>
      </w:r>
    </w:p>
    <w:p>
      <w:pPr>
        <w:keepLines/>
        <w:spacing w:before="60" w:after="80"/>
        <w:ind w:firstLine="0"/>
        <w:jc w:val="center"/>
      </w:pPr>
      <w:r>
        <w:rPr>
          <w:rFonts w:eastAsia="黑体"/>
          <w:b/>
          <w:sz w:val="18"/>
          <w:szCs w:val="18"/>
        </w:rPr>
        <w:t>图4 八随机种子下样本级自适应路由权重分布</w:t>
      </w:r>
    </w:p>
    <w:p>
      <w:pPr/>
      <w:r>
        <w:rPr>
          <w:color w:val="000000"/>
          <w:szCs w:val="21"/>
        </w:rPr>
        <w:t>Abilene中α1、α2和α4的平均权重依次为0.257、0.319和0.424；GÉANT中依次为0.283、0.318和0.399。两组结果中尺度4的平均权重都最高，尺度1最低。24步预测下，路由网络对较粗尺度分配了更高权重，同时仍保留尺度1和尺度2的贡献。</w:t>
      </w:r>
    </w:p>
    <w:p w14:paraId="2B7D35DC" w14:textId="77777777" w:rsidR="00B14FA3" w:rsidRPr="00B14FA3" w:rsidRDefault="00B14FA3" w:rsidP="00B14FA3">
      <w:r>
        <w:rPr>
          <w:color w:val="000000"/>
          <w:szCs w:val="21"/>
        </w:rPr>
        <w:t>表2和图2用于比较本文方法与外部基线，表3和图3对应固定等权与自适应加权的比较。两部分实验得到的变化方向一致。图4进一步给出了3个尺度在测试样本中的实际权重分布，可以看到各尺度占比并非固定。</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D87F862"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3 </w:t>
      </w:r>
      <w:r w:rsidRPr="00B14FA3">
        <w:rPr>
          <w:rFonts w:ascii="Arial" w:eastAsia="黑体" w:hAnsi="Arial"/>
          <w:b/>
          <w:color w:val="000000"/>
          <w:kern w:val="0"/>
          <w:sz w:val="24"/>
          <w:szCs w:val="20"/>
        </w:rPr>
        <w:t>结论</w:t>
      </w:r>
    </w:p>
    <w:p w14:paraId="6450C208" w14:textId="77777777" w:rsidR="00B14FA3" w:rsidRPr="00B14FA3" w:rsidRDefault="00B14FA3" w:rsidP="00B14FA3">
      <w:r>
        <w:rPr>
          <w:color w:val="000000"/>
          <w:szCs w:val="21"/>
        </w:rPr>
        <w:t>本文围绕骨干网络OD流量的多时间尺度变化开展预测。尺度1、2和4分别由DLinear专家处理，轻量路由网络根据输入窗口统计量确定融合权重。Abilene和GÉANT实验中，本文方法相对DLinear、LightTS和固定等权多尺度模型取得了更低的平均预测误差；3个尺度的路由权重也呈现不同分布。路由模块只增加131个参数，在模型规模变化较小的情况下完成多尺度预测结果的样本级融合。</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930A59F"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eastAsia="黑体"/>
          <w:b/>
          <w:kern w:val="0"/>
          <w:sz w:val="28"/>
          <w:szCs w:val="20"/>
        </w:rPr>
        <w:t>参考文献</w:t>
      </w:r>
    </w:p>
    <w:p w14:paraId="2A4E69C7" w14:textId="77777777" w:rsidR="00B14FA3" w:rsidRPr="00B14FA3" w:rsidRDefault="00B14FA3" w:rsidP="00B14FA3">
      <w:pPr>
        <w:ind w:left="420" w:hanging="420"/>
      </w:pPr>
      <w:bookmarkStart w:id="1" w:name="OLE_LINK4"/>
      <w:r w:rsidRPr="00B14FA3">
        <w:rPr>
          <w:sz w:val="18"/>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ind w:left="420" w:hanging="420"/>
      </w:pPr>
      <w:r w:rsidRPr="00B14FA3">
        <w:rPr>
          <w:sz w:val="18"/>
        </w:rPr>
        <w:t>[2] QIN L, GU H, WEI W, et al. Spatio-temporal communication network traffic prediction method based on graph neural network[J]. Information Sciences, 2024, 679: 121003. DOI: 10.1016/j.ins.2024.121003.</w:t>
      </w:r>
    </w:p>
    <w:p w14:paraId="3FA328DF" w14:textId="77777777" w:rsidR="00B14FA3" w:rsidRPr="00B14FA3" w:rsidRDefault="00B14FA3" w:rsidP="00B14FA3">
      <w:pPr>
        <w:ind w:left="420" w:hanging="420"/>
      </w:pPr>
      <w:r w:rsidRPr="00B14FA3">
        <w:rPr>
          <w:sz w:val="18"/>
        </w:rPr>
        <w:t>[3] ZHOU J, HAN T, XIAO F,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ind w:left="420" w:hanging="420"/>
      </w:pPr>
      <w:r w:rsidRPr="00B14FA3">
        <w:rPr>
          <w:sz w:val="18"/>
        </w:rPr>
        <w:t>[4] ZENG A, CHEN M, ZHANG L, et al. Are transformers effective for time series forecasting?[C]//Proceedings of the AAAI Conference on Artificial Intelligence. 2023, 37(9): 11121-11128. DOI: 10.1609/aaai.v37i9.26317.</w:t>
      </w:r>
    </w:p>
    <w:p w14:paraId="1BA2A549" w14:textId="77777777" w:rsidR="00B14FA3" w:rsidRPr="00B14FA3" w:rsidRDefault="00B14FA3" w:rsidP="00B14FA3">
      <w:pPr>
        <w:ind w:left="420" w:hanging="420"/>
      </w:pPr>
      <w:r>
        <w:rPr>
          <w:sz w:val="18"/>
        </w:rPr>
        <w:t>[5] WANG S, WU H, SHI X, et al. TimeMixer: decomposable multiscale mixing for time series forecasting[C]//International Conference on Learning Representations. 2024.</w:t>
      </w:r>
    </w:p>
    <w:p w14:paraId="32B65309" w14:textId="77777777" w:rsidR="00B14FA3" w:rsidRPr="00B14FA3" w:rsidRDefault="00B14FA3" w:rsidP="00B14FA3">
      <w:pPr>
        <w:ind w:left="420" w:hanging="420"/>
      </w:pPr>
      <w:r>
        <w:rPr>
          <w:sz w:val="18"/>
        </w:rPr>
        <w:t>[6] ZHANG T, ZHANG Y, CAO W, et al. Less is more: fast multivariate time series forecasting with light sampling-oriented MLP structures[EB/OL]. (2022-07-04)[2026-09-20]. https://arxiv.org/abs/2207.01186. DOI: 10.48550/arXiv.2207.01186.</w:t>
      </w:r>
    </w:p>
    <w:p w14:paraId="32B65309" w14:textId="77777777" w:rsidR="00B14FA3" w:rsidRPr="00B14FA3" w:rsidRDefault="00B14FA3" w:rsidP="00B14FA3">
      <w:pPr>
        <w:ind w:left="420" w:hanging="420"/>
      </w:pPr>
      <w:r>
        <w:rPr>
          <w:sz w:val="18"/>
        </w:rPr>
        <w:t>[7] KUREŠ M, KOUMAR J, HYNEK K. CESNET TS-Zoo: a library for reproducible analysis of network traffic time series[C]//2025 21st International Conference on Network and Service Management. 2025. DOI: 10.23919/CNSM67658.2025.11297513.</w:t>
      </w:r>
    </w:p>
    <w:p w14:paraId="32B65309" w14:textId="77777777" w:rsidR="00B14FA3" w:rsidRPr="00B14FA3" w:rsidRDefault="00B14FA3" w:rsidP="00B14FA3">
      <w:pPr>
        <w:ind w:left="420" w:hanging="420"/>
      </w:pPr>
      <w:r>
        <w:rPr>
          <w:sz w:val="18"/>
        </w:rPr>
        <w:t>[8] ZHANG Y,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ind w:left="420" w:hanging="420"/>
      </w:pPr>
      <w:r>
        <w:rPr>
          <w:sz w:val="18"/>
        </w:rPr>
        <w:t>[9] UHLIG S, QUOITIN B, LEPROPRE J, et al. Providing public intradomain traffic matrices to the research community[J]. ACM SIGCOMM Computer Communication Review, 2006, 36(1): 83-86. DOI: 10.1145/1111322.1111341.</w:t>
      </w:r>
    </w:p>
    <w:p w14:paraId="49ABA0AF" w14:textId="77777777" w:rsidR="00B14FA3" w:rsidRPr="00B14FA3" w:rsidRDefault="00B14FA3" w:rsidP="00B14FA3">
      <w:pPr>
        <w:ind w:left="420" w:hanging="420"/>
      </w:pPr>
      <w:r>
        <w:rPr>
          <w:sz w:val="18"/>
        </w:rPr>
        <w:t>[10] 韦烜, 刘志华, 李青, 等. 大型IP网络流量矩阵分析预测的探讨研究[J]. 系统工程与电子技术, 2024, 46(6): 2164-2173. DOI: 10.12305/j.issn.1001-506X.2024.06.35.</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58403822" w14:textId="77777777" w:rsidR="00B14FA3" w:rsidRPr="00B14FA3" w:rsidRDefault="00B14FA3" w:rsidP="00B14FA3">
      <w:pPr>
        <w:ind w:left="420" w:hanging="420"/>
      </w:pPr>
      <w:r>
        <w:rPr>
          <w:sz w:val="18"/>
        </w:rPr>
        <w:t>[11] 唐文杰, 肖一磊, 孔祥宇, 等. CycleLLH：一种基于周期性整合的新型网络流量预测模型[J]. 计算机学报, 2024, 47(12): 2867-2888. DOI: 10.11897/SP.J.1016.2024.02867.</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bookmarkEnd w:id="1"/>
    <w:sectPr w:rsidR="003E35DB" w:rsidRPr="00B14FA3" w:rsidSect="00F23B67">
      <w:headerReference w:type="default" r:id="rId9"/>
      <w:footerReference w:type="first" r:id="rId10"/>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pPr>
    <w:r>
      <w:rPr>
        <w:sz w:val="16"/>
      </w:rPr>
      <w:t>收稿日期：</w:t>
    </w:r>
    <w:r>
      <w:rPr>
        <w:sz w:val="16"/>
      </w:rPr>
      <w:t>[</w:t>
    </w:r>
    <w:r>
      <w:rPr>
        <w:sz w:val="16"/>
      </w:rPr>
      <w:t>请填写，格式</w:t>
    </w:r>
    <w:r>
      <w:rPr>
        <w:sz w:val="16"/>
      </w:rPr>
      <w:t>YYYY-MM-DD]</w:t>
    </w:r>
  </w:p>
  <w:p w14:paraId="66649098" w14:textId="77777777" w:rsidR="00F23B67" w:rsidRDefault="00F23B67">
    <w:pPr>
      <w:jc w:val="left"/>
    </w:pPr>
    <w:r>
      <w:rPr>
        <w:sz w:val="16"/>
      </w:rPr>
      <w:t>基金项目：</w:t>
    </w:r>
    <w:r>
      <w:rPr>
        <w:sz w:val="16"/>
      </w:rPr>
      <w:t>[</w:t>
    </w:r>
    <w:r>
      <w:rPr>
        <w:sz w:val="16"/>
      </w:rPr>
      <w:t>基金来源</w:t>
    </w:r>
    <w:r>
      <w:rPr>
        <w:sz w:val="16"/>
      </w:rPr>
      <w:t>]</w:t>
    </w:r>
    <w:r>
      <w:rPr>
        <w:sz w:val="16"/>
      </w:rPr>
      <w:t>（</w:t>
    </w:r>
    <w:r>
      <w:rPr>
        <w:sz w:val="16"/>
      </w:rPr>
      <w:t>[</w:t>
    </w:r>
    <w:r>
      <w:rPr>
        <w:sz w:val="16"/>
      </w:rPr>
      <w:t>基金项目编号</w:t>
    </w:r>
    <w:r>
      <w:rPr>
        <w:sz w:val="16"/>
      </w:rPr>
      <w:t>]</w:t>
    </w:r>
    <w:r>
      <w:rPr>
        <w:sz w:val="16"/>
      </w:rPr>
      <w:t>）</w:t>
    </w:r>
  </w:p>
  <w:p w14:paraId="3B0C0477" w14:textId="77777777" w:rsidR="00F23B67" w:rsidRDefault="00F23B67">
    <w:pPr>
      <w:jc w:val="left"/>
    </w:pPr>
    <w:r>
      <w:rPr>
        <w:sz w:val="16"/>
      </w:rPr>
      <w:t>第一作者简介：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w:t>
    </w:r>
  </w:p>
  <w:p w14:paraId="57141CA0" w14:textId="77777777" w:rsidR="00F23B67" w:rsidRDefault="00F23B67">
    <w:pPr>
      <w:jc w:val="left"/>
    </w:pPr>
    <w:r>
      <w:rPr>
        <w:sz w:val="16"/>
      </w:rPr>
      <w:t>通信作者简介：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，电子邮箱：</w:t>
    </w:r>
    <w:r>
      <w:rPr>
        <w:sz w:val="16"/>
      </w:rPr>
      <w:t>[</w:t>
    </w:r>
    <w:r>
      <w:rPr>
        <w:sz w:val="16"/>
      </w:rPr>
      <w:t>邮箱</w:t>
    </w:r>
    <w:r>
      <w:rPr>
        <w:sz w:val="16"/>
      </w:rPr>
      <w:t>]</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78" w:lineRule="auto"/>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78" w:lineRule="auto"/>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78" w:lineRule="auto"/>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78" w:lineRule="auto"/>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78" w:lineRule="auto"/>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78" w:lineRule="auto"/>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78" w:lineRule="auto"/>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78" w:lineRule="auto"/>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cstheme="majorBidi"/>
      <w:color w:val="2F5496" w:themeColor="accent1" w:themeShade="BF"/>
      <w:sz w:val="28"/>
      <w:szCs w:val="28"/>
    </w:rPr>
  </w:style>
  <w:style w:type="character" w:customStyle="1" w:styleId="50">
    <w:name w:val="标题 5 字符"/>
    <w:basedOn w:val="a0"/>
    <w:link w:val="5"/>
    <w:uiPriority w:val="9"/>
    <w:semiHidden/>
    <w:rsid w:val="00EE5DC0"/>
    <w:rPr>
      <w:rFonts w:cstheme="majorBidi"/>
      <w:color w:val="2F5496" w:themeColor="accent1" w:themeShade="BF"/>
      <w:sz w:val="24"/>
    </w:rPr>
  </w:style>
  <w:style w:type="character" w:customStyle="1" w:styleId="60">
    <w:name w:val="标题 6 字符"/>
    <w:basedOn w:val="a0"/>
    <w:link w:val="6"/>
    <w:uiPriority w:val="9"/>
    <w:semiHidden/>
    <w:rsid w:val="00EE5DC0"/>
    <w:rPr>
      <w:rFonts w:cstheme="majorBidi"/>
      <w:b/>
      <w:bCs/>
      <w:color w:val="2F5496" w:themeColor="accent1" w:themeShade="BF"/>
    </w:rPr>
  </w:style>
  <w:style w:type="character" w:customStyle="1" w:styleId="70">
    <w:name w:val="标题 7 字符"/>
    <w:basedOn w:val="a0"/>
    <w:link w:val="7"/>
    <w:uiPriority w:val="9"/>
    <w:semiHidden/>
    <w:rsid w:val="00EE5DC0"/>
    <w:rPr>
      <w:rFonts w:cstheme="majorBidi"/>
      <w:b/>
      <w:bCs/>
      <w:color w:val="595959" w:themeColor="text1" w:themeTint="A6"/>
    </w:rPr>
  </w:style>
  <w:style w:type="character" w:customStyle="1" w:styleId="80">
    <w:name w:val="标题 8 字符"/>
    <w:basedOn w:val="a0"/>
    <w:link w:val="8"/>
    <w:uiPriority w:val="9"/>
    <w:semiHidden/>
    <w:rsid w:val="00EE5DC0"/>
    <w:rPr>
      <w:rFonts w:cstheme="majorBidi"/>
      <w:color w:val="595959" w:themeColor="text1" w:themeTint="A6"/>
    </w:rPr>
  </w:style>
  <w:style w:type="character" w:customStyle="1" w:styleId="90">
    <w:name w:val="标题 9 字符"/>
    <w:basedOn w:val="a0"/>
    <w:link w:val="9"/>
    <w:uiPriority w:val="9"/>
    <w:semiHidden/>
    <w:rsid w:val="00EE5DC0"/>
    <w:rPr>
      <w:rFonts w:eastAsiaTheme="majorEastAsia"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line="278" w:lineRule="auto"/>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line="278" w:lineRule="auto"/>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Pr>
  </w:style>
  <w:style w:type="paragraph" w:styleId="a9">
    <w:name w:val="List Paragraph"/>
    <w:basedOn w:val="a"/>
    <w:uiPriority w:val="34"/>
    <w:qFormat/>
    <w:rsid w:val="00EE5DC0"/>
    <w:pPr>
      <w:spacing w:after="160" w:line="278" w:lineRule="auto"/>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Pr>
  </w:style>
  <w:style w:type="character" w:styleId="ad">
    <w:name w:val="Intense Reference"/>
    <w:basedOn w:val="a0"/>
    <w:uiPriority w:val="32"/>
    <w:qFormat/>
    <w:rsid w:val="00EE5DC0"/>
    <w:rPr>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sz w:val="18"/>
      <w:szCs w:val="18"/>
    </w:rPr>
  </w:style>
  <w:style w:type="paragraph" w:customStyle="1" w:styleId="11">
    <w:name w:val="标题 11"/>
    <w:rsid w:val="00F23B67"/>
    <w:pPr>
      <w:keepNext/>
      <w:spacing w:before="120" w:after="40" w:line="240" w:lineRule="auto"/>
    </w:pPr>
    <w:rPr>
      <w:rFonts w:ascii="Times New Roman" w:eastAsia="黑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