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8AA5"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2242B7F5" w14:textId="77777777" w:rsidR="00B14FA3" w:rsidRPr="00B14FA3" w:rsidRDefault="00B14FA3" w:rsidP="00B14FA3">
      <w:pPr>
        <w:ind w:firstLine="0"/>
        <w:jc w:val="center"/>
      </w:pPr>
      <w:r w:rsidRPr="00B14FA3">
        <w:rPr>
          <w:rFonts w:eastAsia="楷体" w:ascii="KaiTi" w:hAnsi="KaiTi" w:cs="KaiTi"/>
          <w:color w:val="000000"/>
          <w:szCs w:val="21"/>
          <w:sz w:val="21"/>
        </w:rPr>
        <w:t>[</w:t>
      </w:r>
      <w:r w:rsidRPr="00B14FA3">
        <w:rPr>
          <w:rFonts w:eastAsia="楷体" w:ascii="KaiTi" w:hAnsi="KaiTi" w:cs="KaiTi"/>
          <w:color w:val="000000"/>
          <w:szCs w:val="21"/>
          <w:sz w:val="21"/>
        </w:rPr>
        <w:t>请填写作者姓名</w:t>
      </w:r>
      <w:r w:rsidRPr="00B14FA3">
        <w:rPr>
          <w:rFonts w:eastAsia="楷体" w:ascii="KaiTi" w:hAnsi="KaiTi" w:cs="KaiTi"/>
          <w:color w:val="000000"/>
          <w:szCs w:val="21"/>
          <w:sz w:val="21"/>
        </w:rPr>
        <w:t>]</w:t>
      </w:r>
    </w:p>
    <w:p w14:paraId="7497E793" w14:textId="77777777" w:rsidR="00B14FA3" w:rsidRPr="00B14FA3" w:rsidRDefault="00B14FA3" w:rsidP="00B14FA3">
      <w:pPr>
        <w:ind w:firstLine="0"/>
        <w:jc w:val="center"/>
      </w:pPr>
      <w:r w:rsidRPr="00B14FA3">
        <w:rPr>
          <w:rFonts w:eastAsia="楷体"/>
          <w:color w:val="000000"/>
          <w:sz w:val="18"/>
          <w:szCs w:val="18"/>
        </w:rPr>
        <w:t>（[请填写工作单位] [请填写部门]，[省 市 邮编]）</w:t>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xml:space="preserve"/>
      </w:r>
      <w:r w:rsidRPr="00B14FA3">
        <w:rPr>
          <w:rFonts w:eastAsia="楷体"/>
          <w:color w:val="000000"/>
          <w:sz w:val="18"/>
          <w:szCs w:val="18"/>
        </w:rPr>
        <w:t/>
      </w:r>
      <w:r w:rsidRPr="00B14FA3">
        <w:rPr>
          <w:rFonts w:eastAsia="楷体"/>
          <w:color w:val="000000"/>
          <w:sz w:val="18"/>
          <w:szCs w:val="18"/>
        </w:rPr>
        <w:t xml:space="preserve"/>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w:r>
    </w:p>
    <w:p w14:paraId="029BEDBD" w14:textId="77777777" w:rsidR="00B14FA3" w:rsidRPr="00B14FA3" w:rsidRDefault="00B14FA3" w:rsidP="00B14FA3">
      <w:r w:rsidRPr="00B14FA3">
        <w:rPr>
          <w:b/>
          <w:bCs/>
          <w:color w:val="000000"/>
        </w:rPr>
        <w:t>摘要：</w:t>
      </w:r>
      <w:r w:rsidRPr="00B14FA3">
        <w:rPr>
          <w:color w:val="000000"/>
        </w:rPr>
        <w:t>为提高骨干网络源—目的节点对流量短期预测对不同时间尺度变化的适应能力，构建一种基于样本级自适应多尺度加权的轻量预测方法。采用尺度1、2和4的非重叠平均池化生成多分辨率序列，并分别输入独立的分解线性模型进行预测；提取窗口均值、标准差、末时刻均值和平均绝对一阶差分，经路由网络生成Softmax权重，对不同尺度专家输出进行样本级自适应融合，并设置低频门控分析频率保留比例的影响。在Abilene数据集上的实验表明，无频域门控的自适应多尺度模型相较于单尺度分解线性模型，均方误差和平均绝对误差分别降低4.06%和10.52%；在尺度集合和专家结构相同条件下，均方误差较固定等权融合降低3.95%；随着频率保留比例增加，含门控模型误差逐步下降，但仍未优于无频域模型。实验结果说明，样本级尺度权重有助于提高骨干网络源—目的节点对短期流量预测精度，频域处理更适合作为频率特征分析的补充手段。</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32FC1E8A" w14:textId="77777777" w:rsidR="00B14FA3" w:rsidRPr="00B14FA3" w:rsidRDefault="00B14FA3" w:rsidP="00B14FA3">
      <w:pPr>
        <w:ind w:firstLine="0"/>
      </w:pPr>
      <w:r w:rsidRPr="00B14FA3">
        <w:rPr>
          <w:rFonts w:eastAsia="黑体"/>
          <w:b/>
        </w:rPr>
        <w:t>关键词：</w:t>
      </w:r>
      <w:r w:rsidRPr="00B14FA3">
        <w:t>网络流量预测；多变量时间序列；多尺度学习；自适应加权；线性分解预测；频域分析</w:t>
      </w:r>
    </w:p>
    <w:p w14:paraId="0D2C546D"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78AF9E3B"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045625F6" w14:textId="77777777" w:rsidR="00B14FA3" w:rsidRPr="00B14FA3" w:rsidRDefault="00B14FA3" w:rsidP="00B14FA3">
      <w:pPr>
        <w:ind w:firstLine="0"/>
        <w:jc w:val="center"/>
      </w:pPr>
      <w:r w:rsidRPr="00B14FA3">
        <w:t>[Author Name]</w:t>
      </w:r>
    </w:p>
    <w:p w14:paraId="77FB10D3" w14:textId="77777777" w:rsidR="00B14FA3" w:rsidRPr="00B14FA3" w:rsidRDefault="00B14FA3" w:rsidP="00B14FA3">
      <w:pPr>
        <w:jc w:val="center"/>
      </w:pPr>
      <w:r w:rsidRPr="00B14FA3">
        <w:t>([Affiliation] [Department], [City] [Postcode], China; Corresponding author: [Name], E-mail: [E-mail])</w:t>
      </w:r>
    </w:p>
    <w:p w14:paraId="75C17346" w14:textId="77777777" w:rsidR="00B14FA3" w:rsidRPr="00B14FA3" w:rsidRDefault="00B14FA3" w:rsidP="00B14FA3">
      <w:r w:rsidRPr="00B14FA3">
        <w:rPr>
          <w:rFonts w:eastAsia="Times New Roman"/>
          <w:b/>
          <w:bCs/>
          <w:color w:val="000000"/>
        </w:rPr>
        <w:t xml:space="preserve">Abstract: </w:t>
      </w:r>
      <w:r w:rsidRPr="00B14FA3">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with scales of 1, 2, and 4 was used to generate multiresolution sequences, which were separately processed by independent Decomposition-Linear (DLinear) models. The window mean, standard deviation, mean at the latest time step, and mean absolute first difference were extracted and fed into a routing network to generate Softmax weights for sample-wise adaptive fusion of the outputs from different scale experts. Low-frequency gating was also introduced to analyze the effect of the frequency-retention ratio. Experiments on the Abilene dataset showed that the ungated adaptive multiscale model reduced mean squared error and mean absolute error by 4.06% and 10.52%, respectively, compared with single-scale DLinear. With the same scale set and expert structures, the mean squared error was reduced by 3.95% compared with fixed equal weighting. As the frequency-retention ratio increased, the errors of the gated models gradually decreased, but remained higher than those of the ungated model. The results show that adaptive scale fusion effectively exploits complementary information across different temporal resolutions, while low-frequency gating can serve as an auxiliary module for frequency-characteristic analysis.</w:t>
      </w:r>
    </w:p>
    <w:p w14:paraId="197031C1" w14:textId="77777777" w:rsidR="00B14FA3" w:rsidRPr="00B14FA3" w:rsidRDefault="00B14FA3" w:rsidP="00B14FA3">
      <w:pPr>
        <w:ind w:firstLine="0"/>
      </w:pPr>
      <w:r w:rsidRPr="00B14FA3">
        <w:rPr>
          <w:rFonts w:eastAsia="Times New Roman"/>
          <w:b/>
          <w:bCs/>
          <w:color w:val="000000"/>
        </w:rPr>
        <w:t xml:space="preserve">Key words: </w:t>
      </w:r>
      <w:r w:rsidRPr="00B14FA3">
        <w:rPr>
          <w:rFonts w:eastAsia="Times New Roman"/>
          <w:color w:val="000000"/>
        </w:rPr>
        <w:t>network traffic forecasting; multivariate time series; multiscale learning; adaptive weighting; linear decomposition forecasting; frequency-domain analysis</w:t>
      </w:r>
    </w:p>
    <w:p w14:paraId="00316D31" w14:textId="77777777" w:rsidR="00B14FA3" w:rsidRPr="00B14FA3" w:rsidRDefault="00B14FA3" w:rsidP="00B14FA3">
      <w:pPr>
        <w:rPr>
          <w:color w:val="000000"/>
        </w:rPr>
      </w:pPr>
    </w:p>
    <w:p w14:paraId="0336AD7F" w14:textId="77777777" w:rsidR="00B14FA3" w:rsidRPr="00B14FA3" w:rsidRDefault="00B14FA3" w:rsidP="00B14FA3">
      <w:pPr>
        <w:rPr>
          <w:color w:val="000000"/>
        </w:rPr>
      </w:pPr>
      <w:r w:rsidRPr="00B14FA3">
        <w:rPr>
          <w:rFonts w:eastAsia="宋体"/>
          <w:color w:val="000000"/>
          <w:sz w:val="21"/>
          <w:szCs w:val="21"/>
        </w:rPr>
        <w:t>随着网络业务规模和业务类型持续增长，骨干网络流量呈现出明显的时变性、突发性和多时间尺度变化特征。源</w:t>
      </w:r>
      <w:r w:rsidRPr="00B14FA3">
        <w:rPr>
          <w:rFonts w:eastAsia="宋体"/>
          <w:color w:val="000000"/>
          <w:sz w:val="21"/>
          <w:szCs w:val="21"/>
        </w:rPr>
        <w:t>—</w:t>
      </w:r>
      <w:r w:rsidRPr="00B14FA3">
        <w:rPr>
          <w:rFonts w:eastAsia="宋体"/>
          <w:color w:val="000000"/>
          <w:sz w:val="21"/>
          <w:szCs w:val="21"/>
        </w:rPr>
        <w:t>目的节点对（</w:t>
      </w:r>
      <w:r w:rsidRPr="00B14FA3">
        <w:rPr>
          <w:rFonts w:eastAsia="宋体"/>
          <w:color w:val="000000"/>
          <w:sz w:val="21"/>
          <w:szCs w:val="21"/>
        </w:rPr>
        <w:t>origin-destination</w:t>
      </w:r>
      <w:r w:rsidRPr="00B14FA3">
        <w:rPr>
          <w:rFonts w:eastAsia="宋体"/>
          <w:color w:val="000000"/>
          <w:sz w:val="21"/>
          <w:szCs w:val="21"/>
        </w:rPr>
        <w:t>，</w:t>
      </w:r>
      <w:r w:rsidRPr="00B14FA3">
        <w:rPr>
          <w:rFonts w:eastAsia="宋体"/>
          <w:color w:val="000000"/>
          <w:sz w:val="21"/>
          <w:szCs w:val="21"/>
        </w:rPr>
        <w:t>OD</w:t>
      </w:r>
      <w:r w:rsidRPr="00B14FA3">
        <w:rPr>
          <w:rFonts w:eastAsia="宋体"/>
          <w:color w:val="000000"/>
          <w:sz w:val="21"/>
          <w:szCs w:val="21"/>
        </w:rPr>
        <w:t>）流量能够反映网络入口与出口之间的业务需求，其短期预测结果可为容量规划、拥塞预警、流量工程和资源调度提供依据。现有网络流量预测方法已由传统统计模型逐步发展到机器学习和深度学习方法</w:t>
      </w:r>
      <w:r w:rsidRPr="00B14FA3">
        <w:rPr>
          <w:rFonts w:eastAsia="宋体"/>
          <w:color w:val="000000"/>
          <w:sz w:val="21"/>
          <w:szCs w:val="21"/>
        </w:rPr>
        <w:t>[1]</w:t>
      </w:r>
      <w:r w:rsidRPr="00B14FA3">
        <w:rPr>
          <w:rFonts w:eastAsia="宋体"/>
          <w:color w:val="000000"/>
          <w:sz w:val="21"/>
          <w:szCs w:val="21"/>
        </w:rPr>
        <w:t>。针对网络流量中的时空相关性，</w:t>
      </w:r>
      <w:r w:rsidRPr="00B14FA3">
        <w:rPr>
          <w:rFonts w:eastAsia="宋体"/>
          <w:color w:val="000000"/>
          <w:sz w:val="21"/>
          <w:szCs w:val="21"/>
        </w:rPr>
        <w:t>Qin</w:t>
      </w:r>
      <w:r w:rsidRPr="00B14FA3">
        <w:rPr>
          <w:rFonts w:eastAsia="宋体"/>
          <w:color w:val="000000"/>
          <w:sz w:val="21"/>
          <w:szCs w:val="21"/>
        </w:rPr>
        <w:t>等</w:t>
      </w:r>
      <w:r w:rsidRPr="00B14FA3">
        <w:rPr>
          <w:rFonts w:eastAsia="宋体"/>
          <w:color w:val="000000"/>
          <w:sz w:val="21"/>
          <w:szCs w:val="21"/>
        </w:rPr>
        <w:t>[2]</w:t>
      </w:r>
      <w:r w:rsidRPr="00B14FA3">
        <w:rPr>
          <w:rFonts w:eastAsia="宋体"/>
          <w:color w:val="000000"/>
          <w:sz w:val="21"/>
          <w:szCs w:val="21"/>
        </w:rPr>
        <w:t>采用图神经网络建模通信网络中的空间依赖关系；韦烜等</w:t>
      </w:r>
      <w:r w:rsidRPr="00B14FA3">
        <w:rPr>
          <w:rFonts w:eastAsia="宋体"/>
          <w:color w:val="000000"/>
          <w:sz w:val="21"/>
          <w:szCs w:val="21"/>
        </w:rPr>
        <w:t>[9]</w:t>
      </w:r>
      <w:r w:rsidRPr="00B14FA3">
        <w:rPr>
          <w:rFonts w:eastAsia="宋体"/>
          <w:color w:val="000000"/>
          <w:sz w:val="21"/>
          <w:szCs w:val="21"/>
        </w:rPr>
        <w:t>对大型</w:t>
      </w:r>
      <w:r w:rsidRPr="00B14FA3">
        <w:rPr>
          <w:rFonts w:eastAsia="宋体"/>
          <w:color w:val="000000"/>
          <w:sz w:val="21"/>
          <w:szCs w:val="21"/>
        </w:rPr>
        <w:t>互联网协议（Internet Protocol，IP）</w:t>
      </w:r>
      <w:r w:rsidRPr="00B14FA3">
        <w:rPr>
          <w:rFonts w:eastAsia="宋体"/>
          <w:color w:val="000000"/>
          <w:sz w:val="21"/>
          <w:szCs w:val="21"/>
        </w:rPr>
        <w:t>网络流量矩阵的分析与预测进行了研究，表明</w:t>
      </w:r>
      <w:r w:rsidRPr="00B14FA3">
        <w:rPr>
          <w:rFonts w:eastAsia="宋体"/>
          <w:color w:val="000000"/>
          <w:sz w:val="21"/>
          <w:szCs w:val="21"/>
        </w:rPr>
        <w:t>OD</w:t>
      </w:r>
      <w:r w:rsidRPr="00B14FA3">
        <w:rPr>
          <w:rFonts w:eastAsia="宋体"/>
          <w:color w:val="000000"/>
          <w:sz w:val="21"/>
          <w:szCs w:val="21"/>
        </w:rPr>
        <w:t>流量预测在实际网络运行管理中具有应用价值。然而，图结构建模通常依赖网络拓扑或较复杂的特征交互，</w:t>
      </w:r>
      <w:r w:rsidRPr="00B14FA3">
        <w:rPr>
          <w:rFonts w:eastAsia="宋体"/>
          <w:color w:val="000000"/>
          <w:sz w:val="21"/>
          <w:szCs w:val="21"/>
        </w:rPr>
        <w:lastRenderedPageBreak/>
        <w:t>对于只利用历史</w:t>
      </w:r>
      <w:r w:rsidRPr="00B14FA3">
        <w:rPr>
          <w:rFonts w:eastAsia="宋体"/>
          <w:color w:val="000000"/>
          <w:sz w:val="21"/>
          <w:szCs w:val="21"/>
        </w:rPr>
        <w:t>OD</w:t>
      </w:r>
      <w:r w:rsidRPr="00B14FA3">
        <w:rPr>
          <w:rFonts w:eastAsia="宋体"/>
          <w:color w:val="000000"/>
          <w:sz w:val="21"/>
          <w:szCs w:val="21"/>
        </w:rPr>
        <w:t>流量序列进行轻量预测的场景，仍存在进一步简化模型结构的空间。</w:t>
      </w:r>
    </w:p>
    <w:p w14:paraId="63AA998F" w14:textId="77777777" w:rsidR="00B14FA3" w:rsidRPr="00B14FA3" w:rsidRDefault="00B14FA3" w:rsidP="00B14FA3">
      <w:pPr>
        <w:rPr>
          <w:color w:val="000000"/>
        </w:rPr>
      </w:pPr>
      <w:r w:rsidRPr="00B14FA3">
        <w:rPr>
          <w:rFonts w:eastAsia="宋体"/>
          <w:color w:val="000000"/>
          <w:sz w:val="21"/>
          <w:szCs w:val="21"/>
        </w:rPr>
        <w:t>网络流量在不同时间尺度上具有不同的变化特征。较细时间尺度能够保留局部波动和突发信息，较粗时间尺度则有利于平滑短期扰动并突出整体趋势。</w:t>
      </w:r>
      <w:r w:rsidRPr="00B14FA3">
        <w:rPr>
          <w:rFonts w:eastAsia="宋体"/>
          <w:color w:val="000000"/>
          <w:sz w:val="21"/>
          <w:szCs w:val="21"/>
        </w:rPr>
        <w:t>Zhou</w:t>
      </w:r>
      <w:r w:rsidRPr="00B14FA3">
        <w:rPr>
          <w:rFonts w:eastAsia="宋体"/>
          <w:color w:val="000000"/>
          <w:sz w:val="21"/>
          <w:szCs w:val="21"/>
        </w:rPr>
        <w:t>等</w:t>
      </w:r>
      <w:r w:rsidRPr="00B14FA3">
        <w:rPr>
          <w:rFonts w:eastAsia="宋体"/>
          <w:color w:val="000000"/>
          <w:sz w:val="21"/>
          <w:szCs w:val="21"/>
        </w:rPr>
        <w:t>[3]</w:t>
      </w:r>
      <w:r w:rsidRPr="00B14FA3">
        <w:rPr>
          <w:rFonts w:eastAsia="宋体"/>
          <w:color w:val="000000"/>
          <w:sz w:val="21"/>
          <w:szCs w:val="21"/>
        </w:rPr>
        <w:t>利用多尺度回声状态网络提取不同时间尺度的流量特征；</w:t>
      </w:r>
      <w:r w:rsidRPr="00B14FA3">
        <w:rPr>
          <w:rFonts w:eastAsia="宋体"/>
          <w:color w:val="000000"/>
          <w:sz w:val="21"/>
          <w:szCs w:val="21"/>
        </w:rPr>
        <w:t>TimeMixer</w:t>
      </w:r>
      <w:r w:rsidRPr="00B14FA3">
        <w:rPr>
          <w:rFonts w:eastAsia="宋体"/>
          <w:color w:val="000000"/>
          <w:sz w:val="21"/>
          <w:szCs w:val="21"/>
        </w:rPr>
        <w:t>通过多尺度分解与混合机制实现不同分辨率信息的交互</w:t>
      </w:r>
      <w:r w:rsidRPr="00B14FA3">
        <w:rPr>
          <w:rFonts w:eastAsia="宋体"/>
          <w:color w:val="000000"/>
          <w:sz w:val="21"/>
          <w:szCs w:val="21"/>
        </w:rPr>
        <w:t>[7]</w:t>
      </w:r>
      <w:r w:rsidRPr="00B14FA3">
        <w:rPr>
          <w:rFonts w:eastAsia="宋体"/>
          <w:color w:val="000000"/>
          <w:sz w:val="21"/>
          <w:szCs w:val="21"/>
        </w:rPr>
        <w:t>；</w:t>
      </w:r>
      <w:r w:rsidRPr="00B14FA3">
        <w:rPr>
          <w:rFonts w:eastAsia="宋体"/>
          <w:color w:val="000000"/>
          <w:sz w:val="21"/>
          <w:szCs w:val="21"/>
        </w:rPr>
        <w:t>CycleLLH</w:t>
      </w:r>
      <w:r w:rsidRPr="00B14FA3">
        <w:rPr>
          <w:rFonts w:eastAsia="宋体"/>
          <w:color w:val="000000"/>
          <w:sz w:val="21"/>
          <w:szCs w:val="21"/>
        </w:rPr>
        <w:t>则从周期性整合角度提高网络流量预测能力</w:t>
      </w:r>
      <w:r w:rsidRPr="00B14FA3">
        <w:rPr>
          <w:rFonts w:eastAsia="宋体"/>
          <w:color w:val="000000"/>
          <w:sz w:val="21"/>
          <w:szCs w:val="21"/>
        </w:rPr>
        <w:t>[10]</w:t>
      </w:r>
      <w:r w:rsidRPr="00B14FA3">
        <w:rPr>
          <w:rFonts w:eastAsia="宋体"/>
          <w:color w:val="000000"/>
          <w:sz w:val="21"/>
          <w:szCs w:val="21"/>
        </w:rPr>
        <w:t>。除时域多尺度建模外，频域方法也被广泛用于时间序列预测。</w:t>
      </w:r>
      <w:r w:rsidRPr="00B14FA3">
        <w:rPr>
          <w:rFonts w:eastAsia="宋体"/>
          <w:color w:val="000000"/>
          <w:sz w:val="21"/>
          <w:szCs w:val="21"/>
        </w:rPr>
        <w:t>频率增强分解Transformer（Frequency Enhanced Decomposed Transformer，FEDformer）</w:t>
      </w:r>
      <w:r w:rsidRPr="00B14FA3">
        <w:rPr>
          <w:rFonts w:eastAsia="宋体"/>
          <w:color w:val="000000"/>
          <w:sz w:val="21"/>
          <w:szCs w:val="21"/>
        </w:rPr>
        <w:t>利用频域增强机制提取主要周期成分</w:t>
      </w:r>
      <w:r w:rsidRPr="00B14FA3">
        <w:rPr>
          <w:rFonts w:eastAsia="宋体"/>
          <w:color w:val="000000"/>
          <w:sz w:val="21"/>
          <w:szCs w:val="21"/>
        </w:rPr>
        <w:t>[5]</w:t>
      </w:r>
      <w:r w:rsidRPr="00B14FA3">
        <w:rPr>
          <w:rFonts w:eastAsia="宋体"/>
          <w:color w:val="000000"/>
          <w:sz w:val="21"/>
          <w:szCs w:val="21"/>
        </w:rPr>
        <w:t>，</w:t>
      </w:r>
      <w:r w:rsidRPr="00B14FA3">
        <w:rPr>
          <w:rFonts w:eastAsia="宋体"/>
          <w:color w:val="000000"/>
          <w:sz w:val="21"/>
          <w:szCs w:val="21"/>
        </w:rPr>
        <w:t>频率插值时间序列分析（Frequency Interpolation Time Series Analysis，FITS）</w:t>
      </w:r>
      <w:r w:rsidRPr="00B14FA3">
        <w:rPr>
          <w:rFonts w:eastAsia="宋体"/>
          <w:color w:val="000000"/>
          <w:sz w:val="21"/>
          <w:szCs w:val="21"/>
        </w:rPr>
        <w:t>通过频率插值实现轻量时间序列预测</w:t>
      </w:r>
      <w:r w:rsidRPr="00B14FA3">
        <w:rPr>
          <w:rFonts w:eastAsia="宋体"/>
          <w:color w:val="000000"/>
          <w:sz w:val="21"/>
          <w:szCs w:val="21"/>
        </w:rPr>
        <w:t>[6]</w:t>
      </w:r>
      <w:r w:rsidRPr="00B14FA3">
        <w:rPr>
          <w:rFonts w:eastAsia="宋体"/>
          <w:color w:val="000000"/>
          <w:sz w:val="21"/>
          <w:szCs w:val="21"/>
        </w:rPr>
        <w:t>；</w:t>
      </w:r>
      <w:r w:rsidRPr="00B14FA3">
        <w:rPr>
          <w:rFonts w:eastAsia="宋体"/>
          <w:color w:val="000000"/>
          <w:sz w:val="21"/>
          <w:szCs w:val="21"/>
        </w:rPr>
        <w:t>Tang</w:t>
      </w:r>
      <w:r w:rsidRPr="00B14FA3">
        <w:rPr>
          <w:rFonts w:eastAsia="宋体"/>
          <w:color w:val="000000"/>
          <w:sz w:val="21"/>
          <w:szCs w:val="21"/>
        </w:rPr>
        <w:t>等</w:t>
      </w:r>
      <w:r w:rsidRPr="00B14FA3">
        <w:rPr>
          <w:rFonts w:eastAsia="宋体"/>
          <w:color w:val="000000"/>
          <w:sz w:val="21"/>
          <w:szCs w:val="21"/>
        </w:rPr>
        <w:t>[8]</w:t>
      </w:r>
      <w:r w:rsidRPr="00B14FA3">
        <w:rPr>
          <w:rFonts w:eastAsia="宋体"/>
          <w:color w:val="000000"/>
          <w:sz w:val="21"/>
          <w:szCs w:val="21"/>
        </w:rPr>
        <w:t>进一步将频域多层感知机与多尺度注意力结合，用于蜂窝网络流量预测。另一方面，</w:t>
      </w:r>
      <w:r w:rsidRPr="00B14FA3">
        <w:rPr>
          <w:rFonts w:eastAsia="宋体"/>
          <w:color w:val="000000"/>
          <w:sz w:val="21"/>
          <w:szCs w:val="21"/>
        </w:rPr>
        <w:t>分解线性（Decomposition Linear，DLinear）模型</w:t>
      </w:r>
      <w:r w:rsidRPr="00B14FA3">
        <w:rPr>
          <w:rFonts w:eastAsia="宋体"/>
          <w:color w:val="000000"/>
          <w:sz w:val="21"/>
          <w:szCs w:val="21"/>
        </w:rPr>
        <w:t>通过趋势项与余项分解配合线性映射实现多步预测，结构简单且参数量较少</w:t>
      </w:r>
      <w:r w:rsidRPr="00B14FA3">
        <w:rPr>
          <w:rFonts w:eastAsia="宋体"/>
          <w:color w:val="000000"/>
          <w:sz w:val="21"/>
          <w:szCs w:val="21"/>
        </w:rPr>
        <w:t>[4]</w:t>
      </w:r>
      <w:r w:rsidRPr="00B14FA3">
        <w:rPr>
          <w:rFonts w:eastAsia="宋体"/>
          <w:color w:val="000000"/>
          <w:sz w:val="21"/>
          <w:szCs w:val="21"/>
        </w:rPr>
        <w:t>，为构建轻量预测模型提供了基础。</w:t>
      </w:r>
    </w:p>
    <w:p w14:paraId="22D1E28C" w14:textId="77777777" w:rsidR="00B14FA3" w:rsidRPr="00B14FA3" w:rsidRDefault="00B14FA3" w:rsidP="00B14FA3">
      <w:pPr>
        <w:rPr>
          <w:color w:val="000000"/>
        </w:rPr>
      </w:pPr>
      <w:r w:rsidRPr="00B14FA3">
        <w:rPr>
          <w:rFonts w:eastAsia="宋体"/>
          <w:color w:val="000000"/>
          <w:sz w:val="21"/>
          <w:szCs w:val="21"/>
        </w:rPr>
        <w:t>上述研究表明，多尺度信息和频率特征均有助于描述时间序列的复杂变化，但现有多尺度方法多采用固定尺度组合或较复杂的混合、注意力结构，对不同流量状态下尺度重要性的动态调节仍较有限；同时，过强的低频截断可能造成突发变化等有效信息损失。针对这些问题，本研究构建基于分解线性尺度专家的样本级自适应多尺度预测框架，以不同时间分辨率专家形成互补预测，并由轻量路由器依据输入窗口状态动态分配尺度权重；频域门控仅作为辅助模块，用于分析频率保留边界。该框架不依赖显式网络拓扑和复杂注意力结构，重点验证动态尺度融合对骨干网络OD流量短期预测的作用。</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p>
    <w:p w14:paraId="68ECE614" w14:textId="77777777" w:rsidR="00B14FA3" w:rsidRPr="00B14FA3" w:rsidRDefault="00B14FA3" w:rsidP="00B14FA3"/>
    <w:p w14:paraId="6343899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31018CFE" w14:textId="77777777" w:rsidR="00B14FA3" w:rsidRPr="00B14FA3" w:rsidRDefault="00B14FA3" w:rsidP="00B14FA3">
      <w:r w:rsidRPr="00B14FA3">
        <w:rPr>
          <w:rFonts w:eastAsia="宋体"/>
          <w:color w:val="000000"/>
          <w:sz w:val="21"/>
          <w:szCs w:val="21"/>
        </w:rPr>
        <w:t>本文方法由预处理、多尺度构造、尺度专家、统计路由和预测融合五部分组成。无频域自适应多尺度结构作为主模型；可学习低频门控作为辅助模块，仅用于分析频率保留比例。整体流程如图</w:t>
      </w:r>
      <w:r w:rsidRPr="00B14FA3">
        <w:rPr>
          <w:rFonts w:eastAsia="宋体"/>
          <w:color w:val="000000"/>
          <w:sz w:val="21"/>
          <w:szCs w:val="21"/>
        </w:rPr>
        <w:t>1</w:t>
      </w:r>
      <w:r w:rsidRPr="00B14FA3">
        <w:rPr>
          <w:rFonts w:eastAsia="宋体"/>
          <w:color w:val="000000"/>
          <w:sz w:val="21"/>
          <w:szCs w:val="21"/>
        </w:rPr>
        <w:t>所示。</w:t>
      </w:r>
    </w:p>
    <w:p w14:paraId="238AB5C8" w14:textId="77777777" w:rsidR="00B14FA3" w:rsidRPr="00B14FA3" w:rsidRDefault="00B14FA3" w:rsidP="00B14FA3">
      <w:pPr>
        <w:keepNext/>
        <w:spacing w:before="60"/>
        <w:ind w:firstLine="0"/>
        <w:jc w:val="center"/>
      </w:pPr>
      <w:r w:rsidRPr="00B14FA3">
        <w:rPr>
          <w:noProof/>
        </w:rPr>
        <w:drawing>
          <wp:inline distT="0" distB="0" distL="0" distR="0" wp14:anchorId="0702D61E" wp14:editId="12DCDF4B">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1B6C7467"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1 </w:t>
      </w:r>
      <w:r w:rsidRPr="00B14FA3">
        <w:rPr>
          <w:rFonts w:eastAsia="黑体"/>
          <w:b/>
          <w:color w:val="000000"/>
          <w:sz w:val="18"/>
        </w:rPr>
        <w:t>自适应多尺度预测框架</w:t>
      </w:r>
    </w:p>
    <w:p w14:paraId="2ABA567B"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sz w:val="21"/>
        </w:rPr>
        <w:t xml:space="preserve">1.1 </w:t>
      </w:r>
      <w:r w:rsidRPr="00B14FA3">
        <w:rPr>
          <w:rFonts w:eastAsia="黑体"/>
          <w:b/>
          <w:bCs/>
          <w:szCs w:val="21"/>
          <w:sz w:val="21"/>
        </w:rPr>
        <w:t>问题定义与数据预处理</w:t>
      </w:r>
    </w:p>
    <w:p w14:paraId="499475F7" w14:textId="77777777" w:rsidR="00B14FA3" w:rsidRPr="00B14FA3" w:rsidRDefault="00B14FA3" w:rsidP="00B14FA3">
      <w:pPr>
        <w:spacing w:line="360" w:lineRule="auto"/>
      </w:pPr>
      <w:r>
        <w:rPr>
          <w:rFonts w:ascii="Times New Roman" w:hAnsi="Times New Roman" w:eastAsia="宋体" w:cs="Times New Roman"/>
          <w:sz w:val="21"/>
          <w:szCs w:val="21"/>
        </w:rPr>
        <w:t xml:space="preserve">设预处理后的多变量流量序列为 </w:t>
      </w:r>
      <w:r>
        <w:rPr>
          <w:rFonts w:ascii="Times New Roman" w:hAnsi="Times New Roman" w:eastAsia="宋体" w:cs="Times New Roman"/>
          <w:sz w:val="21"/>
          <w:szCs w:val="21"/>
          <w:i/>
          <w:iCs/>
        </w:rPr>
        <w:t>x</w:t>
      </w:r>
      <w:r>
        <w:rPr>
          <w:rFonts w:ascii="Times New Roman" w:hAnsi="Times New Roman" w:eastAsia="宋体" w:cs="Times New Roman"/>
          <w:sz w:val="21"/>
          <w:szCs w:val="21"/>
          <w:i/>
          <w:iCs/>
          <w:vertAlign w:val="subscript"/>
        </w:rPr>
        <w:t>t</w:t>
      </w:r>
      <w:r>
        <w:rPr>
          <w:rFonts w:ascii="Times New Roman" w:hAnsi="Times New Roman" w:eastAsia="宋体" w:cs="Times New Roman"/>
          <w:sz w:val="21"/>
          <w:szCs w:val="21"/>
        </w:rPr>
        <w:t>∈</w:t>
      </w:r>
      <w:r>
        <w:rPr>
          <w:rFonts w:ascii="Times New Roman" w:hAnsi="Times New Roman" w:eastAsia="宋体" w:cs="Times New Roman"/>
          <w:sz w:val="21"/>
          <w:szCs w:val="21"/>
          <w:i/>
          <w:iCs/>
        </w:rPr>
        <w:t>R</w:t>
      </w:r>
      <w:r>
        <w:rPr>
          <w:rFonts w:ascii="Times New Roman" w:hAnsi="Times New Roman" w:eastAsia="宋体" w:cs="Times New Roman"/>
          <w:sz w:val="21"/>
          <w:szCs w:val="21"/>
          <w:i/>
          <w:iCs/>
          <w:vertAlign w:val="superscript"/>
        </w:rPr>
        <w:t>C</w:t>
      </w:r>
      <w:r>
        <w:rPr>
          <w:rFonts w:ascii="Times New Roman" w:hAnsi="Times New Roman" w:eastAsia="宋体" w:cs="Times New Roman"/>
          <w:sz w:val="21"/>
          <w:szCs w:val="21"/>
        </w:rPr>
        <w:t>，其中</w:t>
      </w:r>
      <w:r>
        <w:rPr>
          <w:rFonts w:ascii="Times New Roman" w:hAnsi="Times New Roman" w:eastAsia="宋体" w:cs="Times New Roman"/>
          <w:sz w:val="21"/>
          <w:szCs w:val="21"/>
          <w:i/>
          <w:iCs/>
        </w:rPr>
        <w:t>t</w:t>
      </w:r>
      <w:r>
        <w:rPr>
          <w:rFonts w:ascii="Times New Roman" w:hAnsi="Times New Roman" w:eastAsia="宋体" w:cs="Times New Roman"/>
          <w:sz w:val="21"/>
          <w:szCs w:val="21"/>
        </w:rPr>
        <w:t>为时间索引，</w:t>
      </w:r>
      <w:r>
        <w:rPr>
          <w:rFonts w:ascii="Times New Roman" w:hAnsi="Times New Roman" w:eastAsia="宋体" w:cs="Times New Roman"/>
          <w:sz w:val="21"/>
          <w:szCs w:val="21"/>
          <w:i/>
          <w:iCs/>
        </w:rPr>
        <w:t>C</w:t>
      </w:r>
      <w:r>
        <w:rPr>
          <w:rFonts w:ascii="Times New Roman" w:hAnsi="Times New Roman" w:eastAsia="宋体" w:cs="Times New Roman"/>
          <w:sz w:val="21"/>
          <w:szCs w:val="21"/>
        </w:rPr>
        <w:t>为OD变量数。第</w:t>
      </w:r>
      <w:r>
        <w:rPr>
          <w:rFonts w:ascii="Times New Roman" w:hAnsi="Times New Roman" w:eastAsia="宋体" w:cs="Times New Roman"/>
          <w:sz w:val="21"/>
          <w:szCs w:val="21"/>
          <w:i/>
          <w:iCs/>
        </w:rPr>
        <w:t>n</w:t>
      </w:r>
      <w:r>
        <w:rPr>
          <w:rFonts w:ascii="Times New Roman" w:hAnsi="Times New Roman" w:eastAsia="宋体" w:cs="Times New Roman"/>
          <w:sz w:val="21"/>
          <w:szCs w:val="21"/>
        </w:rPr>
        <w:t>个样本的输入和目标分别为</w:t>
      </w:r>
    </w:p>
    <w:p w14:paraId="5F7E50EE"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0BF3B04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1EBD4F69" w14:textId="77777777" w:rsidR="00B14FA3" w:rsidRPr="00B14FA3" w:rsidRDefault="00B14FA3" w:rsidP="00B14FA3">
      <w:pPr>
        <w:spacing w:line="360" w:lineRule="auto"/>
      </w:pPr>
      <w:r>
        <w:rPr>
          <w:rFonts w:ascii="Times New Roman" w:hAnsi="Times New Roman" w:eastAsia="宋体" w:cs="Times New Roman"/>
          <w:sz w:val="21"/>
          <w:szCs w:val="21"/>
        </w:rPr>
        <w:t>本文取输入长度</w:t>
      </w:r>
      <w:r>
        <w:rPr>
          <w:rFonts w:ascii="Times New Roman" w:hAnsi="Times New Roman" w:eastAsia="宋体" w:cs="Times New Roman"/>
          <w:sz w:val="21"/>
          <w:szCs w:val="21"/>
          <w:i/>
          <w:iCs/>
        </w:rPr>
        <w:t>L</w:t>
      </w:r>
      <w:r>
        <w:rPr>
          <w:rFonts w:ascii="Times New Roman" w:hAnsi="Times New Roman" w:eastAsia="宋体" w:cs="Times New Roman"/>
          <w:sz w:val="21"/>
          <w:szCs w:val="21"/>
        </w:rPr>
        <w:t>=96、预测长度</w:t>
      </w:r>
      <w:r>
        <w:rPr>
          <w:rFonts w:ascii="Times New Roman" w:hAnsi="Times New Roman" w:eastAsia="宋体" w:cs="Times New Roman"/>
          <w:sz w:val="21"/>
          <w:szCs w:val="21"/>
          <w:i/>
          <w:iCs/>
        </w:rPr>
        <w:t>H</w:t>
      </w:r>
      <w:r>
        <w:rPr>
          <w:rFonts w:ascii="Times New Roman" w:hAnsi="Times New Roman" w:eastAsia="宋体" w:cs="Times New Roman"/>
          <w:sz w:val="21"/>
          <w:szCs w:val="21"/>
        </w:rPr>
        <w:t>=24、变量数</w:t>
      </w:r>
      <w:r>
        <w:rPr>
          <w:rFonts w:ascii="Times New Roman" w:hAnsi="Times New Roman" w:eastAsia="宋体" w:cs="Times New Roman"/>
          <w:sz w:val="21"/>
          <w:szCs w:val="21"/>
          <w:i/>
          <w:iCs/>
        </w:rPr>
        <w:t>C</w:t>
      </w:r>
      <w:r>
        <w:rPr>
          <w:rFonts w:ascii="Times New Roman" w:hAnsi="Times New Roman" w:eastAsia="宋体" w:cs="Times New Roman"/>
          <w:sz w:val="21"/>
          <w:szCs w:val="21"/>
        </w:rPr>
        <w:t>=144，学习映射</w:t>
      </w:r>
      <w:r>
        <w:rPr>
          <w:rFonts w:ascii="Times New Roman" w:hAnsi="Times New Roman" w:eastAsia="宋体" w:cs="Times New Roman"/>
          <w:sz w:val="21"/>
          <w:szCs w:val="21"/>
          <w:i/>
          <w:iCs/>
          <w:b/>
          <w:bCs/>
        </w:rPr>
        <w:t>Ŷ</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w:t>
      </w:r>
      <w:r>
        <w:rPr>
          <w:rFonts w:ascii="Times New Roman" w:hAnsi="Times New Roman" w:eastAsia="宋体" w:cs="Times New Roman"/>
          <w:sz w:val="21"/>
          <w:szCs w:val="21"/>
          <w:i/>
          <w:iCs/>
        </w:rPr>
        <w:t>f</w:t>
      </w:r>
      <w:r>
        <w:rPr>
          <w:rFonts w:ascii="Times New Roman" w:hAnsi="Times New Roman" w:eastAsia="宋体" w:cs="Times New Roman"/>
          <w:sz w:val="21"/>
          <w:szCs w:val="21"/>
          <w:i/>
          <w:iCs/>
          <w:vertAlign w:val="subscript"/>
        </w:rPr>
        <w:t>θ</w:t>
      </w:r>
      <w:r>
        <w:rPr>
          <w:rFonts w:ascii="Times New Roman" w:hAnsi="Times New Roman" w:eastAsia="宋体" w:cs="Times New Roman"/>
          <w:sz w:val="21"/>
          <w:szCs w:val="21"/>
        </w:rPr>
        <w:t>(</w:t>
      </w:r>
      <w:r>
        <w:rPr>
          <w:rFonts w:ascii="Times New Roman" w:hAnsi="Times New Roman" w:eastAsia="宋体" w:cs="Times New Roman"/>
          <w:sz w:val="21"/>
          <w:szCs w:val="21"/>
          <w:i/>
          <w:iCs/>
          <w:b/>
          <w:bCs/>
        </w:rPr>
        <w:t>X</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w:t>
      </w:r>
      <w:r>
        <w:rPr>
          <w:rFonts w:ascii="Times New Roman" w:hAnsi="Times New Roman" w:eastAsia="宋体" w:cs="Times New Roman"/>
          <w:sz w:val="21"/>
          <w:szCs w:val="21"/>
        </w:rPr>
        <w:t>。原始非负流量</w:t>
      </w:r>
      <w:r>
        <w:rPr>
          <w:rFonts w:ascii="Times New Roman" w:hAnsi="Times New Roman" w:eastAsia="宋体" w:cs="Times New Roman"/>
          <w:sz w:val="21"/>
          <w:szCs w:val="21"/>
          <w:i/>
          <w:iCs/>
        </w:rPr>
        <w:t>v</w:t>
      </w:r>
      <w:r>
        <w:rPr>
          <w:rFonts w:ascii="Times New Roman" w:hAnsi="Times New Roman" w:eastAsia="宋体" w:cs="Times New Roman"/>
          <w:sz w:val="21"/>
          <w:szCs w:val="21"/>
          <w:i/>
          <w:iCs/>
          <w:vertAlign w:val="subscript"/>
        </w:rPr>
        <w:t>t,c</w:t>
      </w:r>
      <w:r>
        <w:rPr>
          <w:rFonts w:ascii="Times New Roman" w:hAnsi="Times New Roman" w:eastAsia="宋体" w:cs="Times New Roman"/>
          <w:sz w:val="21"/>
          <w:szCs w:val="21"/>
        </w:rPr>
        <w:t>先作对数变换</w:t>
      </w:r>
    </w:p>
    <w:p w14:paraId="5F9C1F8C"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037324BD" w14:textId="77777777" w:rsidR="00B14FA3" w:rsidRPr="00B14FA3" w:rsidRDefault="00B14FA3" w:rsidP="00B14FA3">
      <w:pPr>
        <w:spacing w:line="360" w:lineRule="auto"/>
      </w:pPr>
      <w:r w:rsidRPr="00B14FA3">
        <w:rPr>
          <w:rFonts w:eastAsia="宋体"/>
          <w:sz w:val="21"/>
          <w:szCs w:val="21"/>
        </w:rPr>
        <w:t>再按变量进行标准化：</w:t>
      </w:r>
    </w:p>
    <w:p w14:paraId="73552932"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51A4865" w14:textId="77777777" w:rsidR="00B14FA3" w:rsidRPr="00B14FA3" w:rsidRDefault="00B14FA3" w:rsidP="00B14FA3">
      <w:pPr>
        <w:spacing w:line="360" w:lineRule="auto"/>
      </w:pPr>
      <w:r>
        <w:rPr>
          <w:rFonts w:ascii="Times New Roman" w:hAnsi="Times New Roman" w:eastAsia="宋体" w:cs="Times New Roman"/>
          <w:sz w:val="21"/>
          <w:szCs w:val="21"/>
        </w:rPr>
        <w:t>其中</w:t>
      </w:r>
      <w:r>
        <w:rPr>
          <w:rFonts w:ascii="Times New Roman" w:hAnsi="Times New Roman" w:eastAsia="宋体" w:cs="Times New Roman"/>
          <w:sz w:val="21"/>
          <w:szCs w:val="21"/>
          <w:i/>
          <w:iCs/>
        </w:rPr>
        <w:t>μ</w:t>
      </w:r>
      <w:r>
        <w:rPr>
          <w:rFonts w:ascii="Times New Roman" w:hAnsi="Times New Roman" w:eastAsia="宋体" w:cs="Times New Roman"/>
          <w:sz w:val="21"/>
          <w:szCs w:val="21"/>
          <w:i/>
          <w:iCs/>
          <w:vertAlign w:val="subscript"/>
        </w:rPr>
        <w:t>c</w:t>
      </w:r>
      <w:r>
        <w:rPr>
          <w:rFonts w:ascii="Times New Roman" w:hAnsi="Times New Roman" w:eastAsia="宋体" w:cs="Times New Roman"/>
          <w:sz w:val="21"/>
          <w:szCs w:val="21"/>
          <w:vertAlign w:val="superscript"/>
        </w:rPr>
        <w:t>tr</w:t>
      </w:r>
      <w:r>
        <w:rPr>
          <w:rFonts w:ascii="Times New Roman" w:hAnsi="Times New Roman" w:eastAsia="宋体" w:cs="Times New Roman"/>
          <w:sz w:val="21"/>
          <w:szCs w:val="21"/>
        </w:rPr>
        <w:t>和</w:t>
      </w:r>
      <w:r>
        <w:rPr>
          <w:rFonts w:ascii="Times New Roman" w:hAnsi="Times New Roman" w:eastAsia="宋体" w:cs="Times New Roman"/>
          <w:sz w:val="21"/>
          <w:szCs w:val="21"/>
          <w:i/>
          <w:iCs/>
        </w:rPr>
        <w:t>σ</w:t>
      </w:r>
      <w:r>
        <w:rPr>
          <w:rFonts w:ascii="Times New Roman" w:hAnsi="Times New Roman" w:eastAsia="宋体" w:cs="Times New Roman"/>
          <w:sz w:val="21"/>
          <w:szCs w:val="21"/>
          <w:i/>
          <w:iCs/>
          <w:vertAlign w:val="subscript"/>
        </w:rPr>
        <w:t>c</w:t>
      </w:r>
      <w:r>
        <w:rPr>
          <w:rFonts w:ascii="Times New Roman" w:hAnsi="Times New Roman" w:eastAsia="宋体" w:cs="Times New Roman"/>
          <w:sz w:val="21"/>
          <w:szCs w:val="21"/>
          <w:vertAlign w:val="superscript"/>
        </w:rPr>
        <w:t>tr</w:t>
      </w:r>
      <w:r>
        <w:rPr>
          <w:rFonts w:ascii="Times New Roman" w:hAnsi="Times New Roman" w:eastAsia="宋体" w:cs="Times New Roman"/>
          <w:sz w:val="21"/>
          <w:szCs w:val="21"/>
        </w:rPr>
        <w:t>只由训练集计算，再用于验证集和测试集，避免未来信息进入训练过程。时间点按6∶2∶2顺序划分，不随机打乱原始时间位置；每个集合内部独立构造滑动窗口，避免跨边界使用数据。</w:t>
      </w:r>
    </w:p>
    <w:p w14:paraId="7C580D73"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sz w:val="21"/>
        </w:rPr>
        <w:t xml:space="preserve">1.2 </w:t>
      </w:r>
      <w:r w:rsidRPr="00B14FA3">
        <w:rPr>
          <w:rFonts w:eastAsia="黑体"/>
          <w:b/>
          <w:bCs/>
          <w:szCs w:val="21"/>
          <w:sz w:val="21"/>
        </w:rPr>
        <w:t>多尺度序列构造</w:t>
      </w:r>
    </w:p>
    <w:p w14:paraId="5908EEE9" w14:textId="77777777" w:rsidR="00B14FA3" w:rsidRPr="00B14FA3" w:rsidRDefault="00B14FA3" w:rsidP="00B14FA3">
      <w:pPr>
        <w:spacing w:line="360" w:lineRule="auto"/>
      </w:pPr>
      <w:r w:rsidRPr="00B14FA3">
        <w:rPr>
          <w:rFonts w:eastAsia="宋体"/>
          <w:sz w:val="21"/>
          <w:szCs w:val="21"/>
        </w:rPr>
        <w:t>设尺度集合</w:t>
      </w:r>
      <w:r w:rsidRPr="00B14FA3">
        <w:rPr>
          <w:rFonts w:eastAsia="宋体"/>
          <w:sz w:val="21"/>
          <w:szCs w:val="21"/>
        </w:rPr>
        <w:t>S={1,2,4}</w:t>
      </w:r>
      <w:r w:rsidRPr="00B14FA3">
        <w:rPr>
          <w:rFonts w:eastAsia="宋体"/>
          <w:sz w:val="21"/>
          <w:szCs w:val="21"/>
        </w:rPr>
        <w:t>。对尺度</w:t>
      </w:r>
      <w:r w:rsidRPr="00B14FA3">
        <w:rPr>
          <w:rFonts w:eastAsia="宋体"/>
          <w:sz w:val="21"/>
          <w:szCs w:val="21"/>
        </w:rPr>
        <w:t>s</w:t>
      </w:r>
      <w:r w:rsidRPr="00B14FA3">
        <w:rPr>
          <w:rFonts w:eastAsia="宋体"/>
          <w:sz w:val="21"/>
          <w:szCs w:val="21"/>
        </w:rPr>
        <w:t>，使用窗口大小和步长均为</w:t>
      </w:r>
      <w:r w:rsidRPr="00B14FA3">
        <w:rPr>
          <w:rFonts w:eastAsia="宋体"/>
          <w:sz w:val="21"/>
          <w:szCs w:val="21"/>
        </w:rPr>
        <w:t>s</w:t>
      </w:r>
      <w:r w:rsidRPr="00B14FA3">
        <w:rPr>
          <w:rFonts w:eastAsia="宋体"/>
          <w:sz w:val="21"/>
          <w:szCs w:val="21"/>
        </w:rPr>
        <w:t>的非重叠平均池化：</w:t>
      </w:r>
    </w:p>
    <w:p w14:paraId="46C23D7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24BD738C" w14:textId="77777777" w:rsidR="00B14FA3" w:rsidRPr="00B14FA3" w:rsidRDefault="00B14FA3" w:rsidP="00B14FA3">
      <w:pPr>
        <w:spacing w:line="360" w:lineRule="auto"/>
      </w:pPr>
      <w:r w:rsidRPr="00B14FA3">
        <w:rPr>
          <w:rFonts w:eastAsia="宋体"/>
          <w:sz w:val="21"/>
          <w:szCs w:val="21"/>
        </w:rPr>
        <w:t>三个尺度的输入长度依次为</w:t>
      </w:r>
      <w:r w:rsidRPr="00B14FA3">
        <w:rPr>
          <w:rFonts w:eastAsia="宋体"/>
          <w:sz w:val="21"/>
          <w:szCs w:val="21"/>
        </w:rPr>
        <w:t>96</w:t>
      </w:r>
      <w:r w:rsidRPr="00B14FA3">
        <w:rPr>
          <w:rFonts w:eastAsia="宋体"/>
          <w:sz w:val="21"/>
          <w:szCs w:val="21"/>
        </w:rPr>
        <w:t>、</w:t>
      </w:r>
      <w:r w:rsidRPr="00B14FA3">
        <w:rPr>
          <w:rFonts w:eastAsia="宋体"/>
          <w:sz w:val="21"/>
          <w:szCs w:val="21"/>
        </w:rPr>
        <w:t>48</w:t>
      </w:r>
      <w:r w:rsidRPr="00B14FA3">
        <w:rPr>
          <w:rFonts w:eastAsia="宋体"/>
          <w:sz w:val="21"/>
          <w:szCs w:val="21"/>
        </w:rPr>
        <w:t>和</w:t>
      </w:r>
      <w:r w:rsidRPr="00B14FA3">
        <w:rPr>
          <w:rFonts w:eastAsia="宋体"/>
          <w:sz w:val="21"/>
          <w:szCs w:val="21"/>
        </w:rPr>
        <w:t>24</w:t>
      </w:r>
      <w:r w:rsidRPr="00B14FA3">
        <w:rPr>
          <w:rFonts w:eastAsia="宋体"/>
          <w:sz w:val="21"/>
          <w:szCs w:val="21"/>
        </w:rPr>
        <w:t>。尺度</w:t>
      </w:r>
      <w:r w:rsidRPr="00B14FA3">
        <w:rPr>
          <w:rFonts w:eastAsia="宋体"/>
          <w:sz w:val="21"/>
          <w:szCs w:val="21"/>
        </w:rPr>
        <w:t>1</w:t>
      </w:r>
      <w:r w:rsidRPr="00B14FA3">
        <w:rPr>
          <w:rFonts w:eastAsia="宋体"/>
          <w:sz w:val="21"/>
          <w:szCs w:val="21"/>
        </w:rPr>
        <w:t>保留逐小时细节，尺度</w:t>
      </w:r>
      <w:r w:rsidRPr="00B14FA3">
        <w:rPr>
          <w:rFonts w:eastAsia="宋体"/>
          <w:sz w:val="21"/>
          <w:szCs w:val="21"/>
        </w:rPr>
        <w:t>2</w:t>
      </w:r>
      <w:r w:rsidRPr="00B14FA3">
        <w:rPr>
          <w:rFonts w:eastAsia="宋体"/>
          <w:sz w:val="21"/>
          <w:szCs w:val="21"/>
        </w:rPr>
        <w:t>和</w:t>
      </w:r>
      <w:r w:rsidRPr="00B14FA3">
        <w:rPr>
          <w:rFonts w:eastAsia="宋体"/>
          <w:sz w:val="21"/>
          <w:szCs w:val="21"/>
        </w:rPr>
        <w:t>4</w:t>
      </w:r>
      <w:r w:rsidRPr="00B14FA3">
        <w:rPr>
          <w:rFonts w:eastAsia="宋体"/>
          <w:sz w:val="21"/>
          <w:szCs w:val="21"/>
        </w:rPr>
        <w:t>逐步平滑局部扰动并扩大单个表示对应的时间范围。由于</w:t>
      </w:r>
      <w:r w:rsidRPr="00B14FA3">
        <w:rPr>
          <w:rFonts w:eastAsia="宋体"/>
          <w:sz w:val="21"/>
          <w:szCs w:val="21"/>
        </w:rPr>
        <w:t>L</w:t>
      </w:r>
      <w:r w:rsidRPr="00B14FA3">
        <w:rPr>
          <w:rFonts w:eastAsia="宋体"/>
          <w:sz w:val="21"/>
          <w:szCs w:val="21"/>
        </w:rPr>
        <w:t>能被各尺度整除，池化不需要补零或裁剪。平均池化本身不增加可训练参数，也使三条支路的含义明确。</w:t>
      </w:r>
    </w:p>
    <w:p w14:paraId="13068FDD"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sz w:val="21"/>
        </w:rPr>
        <w:t>1.3 DLinear</w:t>
      </w:r>
      <w:r w:rsidRPr="00B14FA3">
        <w:rPr>
          <w:rFonts w:eastAsia="黑体"/>
          <w:b/>
          <w:bCs/>
          <w:szCs w:val="21"/>
          <w:sz w:val="21"/>
        </w:rPr>
        <w:t>尺度专家</w:t>
      </w:r>
    </w:p>
    <w:p w14:paraId="7DC9C821" w14:textId="77777777" w:rsidR="00B14FA3" w:rsidRPr="00B14FA3" w:rsidRDefault="00B14FA3" w:rsidP="00B14FA3">
      <w:pPr>
        <w:spacing w:line="360" w:lineRule="auto"/>
      </w:pPr>
      <w:r w:rsidRPr="00B14FA3">
        <w:rPr>
          <w:rFonts w:eastAsia="宋体"/>
          <w:sz w:val="21"/>
          <w:szCs w:val="21"/>
        </w:rPr>
        <w:t>每个尺度配置一个独立</w:t>
      </w:r>
      <w:r w:rsidRPr="00B14FA3">
        <w:rPr>
          <w:rFonts w:eastAsia="宋体"/>
          <w:sz w:val="21"/>
          <w:szCs w:val="21"/>
        </w:rPr>
        <w:t>DLinear</w:t>
      </w:r>
      <w:r w:rsidRPr="00B14FA3">
        <w:rPr>
          <w:rFonts w:eastAsia="宋体"/>
          <w:sz w:val="21"/>
          <w:szCs w:val="21"/>
        </w:rPr>
        <w:t>专家</w:t>
      </w:r>
      <w:r w:rsidRPr="00B14FA3">
        <w:rPr>
          <w:rFonts w:eastAsia="宋体"/>
          <w:sz w:val="21"/>
          <w:szCs w:val="21"/>
        </w:rPr>
        <w:t>[7]</w:t>
      </w:r>
      <w:r w:rsidRPr="00B14FA3">
        <w:rPr>
          <w:rFonts w:eastAsia="宋体"/>
          <w:sz w:val="21"/>
          <w:szCs w:val="21"/>
        </w:rPr>
        <w:t>。对尺度</w:t>
      </w:r>
      <w:r w:rsidRPr="00B14FA3">
        <w:rPr>
          <w:rFonts w:eastAsia="宋体"/>
          <w:sz w:val="21"/>
          <w:szCs w:val="21"/>
        </w:rPr>
        <w:t>s</w:t>
      </w:r>
      <w:r w:rsidRPr="00B14FA3">
        <w:rPr>
          <w:rFonts w:eastAsia="宋体"/>
          <w:sz w:val="21"/>
          <w:szCs w:val="21"/>
        </w:rPr>
        <w:t>的输入，以长度</w:t>
      </w:r>
      <w:r w:rsidRPr="00B14FA3">
        <w:rPr>
          <w:rFonts w:eastAsia="宋体"/>
          <w:sz w:val="21"/>
          <w:szCs w:val="21"/>
          <w:i/>
          <w:iCs/>
        </w:rPr>
        <w:t>q</w:t>
      </w:r>
      <w:r w:rsidRPr="00B14FA3">
        <w:rPr>
          <w:rFonts w:eastAsia="宋体"/>
          <w:sz w:val="21"/>
          <w:szCs w:val="21"/>
        </w:rPr>
        <w:t>=25</w:t>
      </w:r>
      <w:r w:rsidRPr="00B14FA3">
        <w:rPr>
          <w:rFonts w:eastAsia="宋体"/>
          <w:sz w:val="21"/>
          <w:szCs w:val="21"/>
        </w:rPr>
        <w:t>的中心移动平均提取趋势项，序列两端采用端点复制以保持长度：</w:t>
      </w:r>
    </w:p>
    <w:p w14:paraId="410F98B1"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0E619E2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51FC6467" w14:textId="77777777" w:rsidR="00B14FA3" w:rsidRPr="00B14FA3" w:rsidRDefault="00B14FA3" w:rsidP="00B14FA3">
      <w:pPr>
        <w:spacing w:line="360" w:lineRule="auto"/>
      </w:pPr>
      <w:r>
        <w:rPr>
          <w:rFonts w:ascii="Times New Roman" w:hAnsi="Times New Roman" w:eastAsia="宋体" w:cs="Times New Roman"/>
          <w:sz w:val="21"/>
          <w:szCs w:val="21"/>
        </w:rPr>
        <w:t>趋势项</w:t>
      </w:r>
      <w:r>
        <w:rPr>
          <w:rFonts w:ascii="Times New Roman" w:hAnsi="Times New Roman" w:eastAsia="宋体" w:cs="Times New Roman"/>
          <w:sz w:val="21"/>
          <w:szCs w:val="21"/>
          <w:i/>
          <w:iCs/>
          <w:b/>
          <w:bCs/>
        </w:rPr>
        <w:t>T</w:t>
      </w:r>
      <w:r>
        <w:rPr>
          <w:rFonts w:ascii="Times New Roman" w:hAnsi="Times New Roman" w:eastAsia="宋体" w:cs="Times New Roman"/>
          <w:sz w:val="21"/>
          <w:szCs w:val="21"/>
          <w:vertAlign w:val="superscript"/>
        </w:rPr>
        <w:t>(</w:t>
      </w:r>
      <w:r>
        <w:rPr>
          <w:rFonts w:ascii="Times New Roman" w:hAnsi="Times New Roman" w:eastAsia="宋体" w:cs="Times New Roman"/>
          <w:sz w:val="21"/>
          <w:szCs w:val="21"/>
          <w:i/>
          <w:iCs/>
          <w:vertAlign w:val="superscript"/>
        </w:rPr>
        <w:t>s</w:t>
      </w:r>
      <w:r>
        <w:rPr>
          <w:rFonts w:ascii="Times New Roman" w:hAnsi="Times New Roman" w:eastAsia="宋体" w:cs="Times New Roman"/>
          <w:sz w:val="21"/>
          <w:szCs w:val="21"/>
          <w:vertAlign w:val="superscript"/>
        </w:rPr>
        <w:t>)</w:t>
      </w:r>
      <w:r>
        <w:rPr>
          <w:rFonts w:ascii="Times New Roman" w:hAnsi="Times New Roman" w:eastAsia="宋体" w:cs="Times New Roman"/>
          <w:sz w:val="21"/>
          <w:szCs w:val="21"/>
        </w:rPr>
        <w:t>和余项</w:t>
      </w:r>
      <w:r>
        <w:rPr>
          <w:rFonts w:ascii="Times New Roman" w:hAnsi="Times New Roman" w:eastAsia="宋体" w:cs="Times New Roman"/>
          <w:sz w:val="21"/>
          <w:szCs w:val="21"/>
          <w:i/>
          <w:iCs/>
          <w:b/>
          <w:bCs/>
        </w:rPr>
        <w:t>R</w:t>
      </w:r>
      <w:r>
        <w:rPr>
          <w:rFonts w:ascii="Times New Roman" w:hAnsi="Times New Roman" w:eastAsia="宋体" w:cs="Times New Roman"/>
          <w:sz w:val="21"/>
          <w:szCs w:val="21"/>
          <w:vertAlign w:val="superscript"/>
        </w:rPr>
        <w:t>(</w:t>
      </w:r>
      <w:r>
        <w:rPr>
          <w:rFonts w:ascii="Times New Roman" w:hAnsi="Times New Roman" w:eastAsia="宋体" w:cs="Times New Roman"/>
          <w:sz w:val="21"/>
          <w:szCs w:val="21"/>
          <w:i/>
          <w:iCs/>
          <w:vertAlign w:val="superscript"/>
        </w:rPr>
        <w:t>s</w:t>
      </w:r>
      <w:r>
        <w:rPr>
          <w:rFonts w:ascii="Times New Roman" w:hAnsi="Times New Roman" w:eastAsia="宋体" w:cs="Times New Roman"/>
          <w:sz w:val="21"/>
          <w:szCs w:val="21"/>
          <w:vertAlign w:val="superscript"/>
        </w:rPr>
        <w:t>)</w:t>
      </w:r>
      <w:r>
        <w:rPr>
          <w:rFonts w:ascii="Times New Roman" w:hAnsi="Times New Roman" w:eastAsia="宋体" w:cs="Times New Roman"/>
          <w:sz w:val="21"/>
          <w:szCs w:val="21"/>
        </w:rPr>
        <w:t>沿时间维分别通过线性层映射到预测长度</w:t>
      </w:r>
      <w:r>
        <w:rPr>
          <w:rFonts w:ascii="Times New Roman" w:hAnsi="Times New Roman" w:eastAsia="宋体" w:cs="Times New Roman"/>
          <w:sz w:val="21"/>
          <w:szCs w:val="21"/>
          <w:i/>
          <w:iCs/>
        </w:rPr>
        <w:t>H</w:t>
      </w:r>
      <w:r>
        <w:rPr>
          <w:rFonts w:ascii="Times New Roman" w:hAnsi="Times New Roman" w:eastAsia="宋体" w:cs="Times New Roman"/>
          <w:sz w:val="21"/>
          <w:szCs w:val="21"/>
        </w:rPr>
        <w:t>：</w:t>
      </w:r>
    </w:p>
    <w:p w14:paraId="5AA4AC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7A766485" w14:textId="77777777" w:rsidR="00B14FA3" w:rsidRPr="00B14FA3" w:rsidRDefault="00B14FA3" w:rsidP="00B14FA3">
      <w:pPr>
        <w:spacing w:line="360" w:lineRule="auto"/>
      </w:pPr>
      <w:r>
        <w:rPr>
          <w:rFonts w:ascii="Times New Roman" w:hAnsi="Times New Roman" w:eastAsia="宋体" w:cs="Times New Roman"/>
          <w:sz w:val="21"/>
          <w:szCs w:val="21"/>
        </w:rPr>
        <w:t>式中，趋势项线性层和余项线性层分别具有独立的时间映射权重与偏置参数。</w:t>
      </w:r>
      <w:r w:rsidRPr="00B14FA3">
        <w:rPr>
          <w:rFonts w:eastAsia="宋体"/>
          <w:sz w:val="21"/>
          <w:szCs w:val="21"/>
        </w:rPr>
        <w:t>同一尺度内的</w:t>
      </w:r>
      <w:r w:rsidRPr="00B14FA3">
        <w:rPr>
          <w:rFonts w:eastAsia="宋体"/>
          <w:sz w:val="21"/>
          <w:szCs w:val="21"/>
        </w:rPr>
        <w:t>144</w:t>
      </w:r>
      <w:r w:rsidRPr="00B14FA3">
        <w:rPr>
          <w:rFonts w:eastAsia="宋体"/>
          <w:sz w:val="21"/>
          <w:szCs w:val="21"/>
        </w:rPr>
        <w:t>个变量共享时间映射权重，三个尺度使用不同参数。共享权重显著控制参数量，但不会显式学习</w:t>
      </w:r>
      <w:r w:rsidRPr="00B14FA3">
        <w:rPr>
          <w:rFonts w:eastAsia="宋体"/>
          <w:sz w:val="21"/>
          <w:szCs w:val="21"/>
        </w:rPr>
        <w:t>OD</w:t>
      </w:r>
      <w:r w:rsidRPr="00B14FA3">
        <w:rPr>
          <w:rFonts w:eastAsia="宋体"/>
          <w:sz w:val="21"/>
          <w:szCs w:val="21"/>
        </w:rPr>
        <w:t>变量间的拓扑关系。三个专家观察不同分辨率的输入，因此即使主干结构相同，也会形成互补预测。</w:t>
      </w:r>
    </w:p>
    <w:p w14:paraId="2AFB4D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sz w:val="21"/>
        </w:rPr>
        <w:lastRenderedPageBreak/>
        <w:t xml:space="preserve">1.4 </w:t>
      </w:r>
      <w:r w:rsidRPr="00B14FA3">
        <w:rPr>
          <w:rFonts w:eastAsia="黑体"/>
          <w:b/>
          <w:bCs/>
          <w:szCs w:val="21"/>
          <w:sz w:val="21"/>
        </w:rPr>
        <w:t>样本级自适应尺度加权</w:t>
      </w:r>
    </w:p>
    <w:p w14:paraId="05DD26ED" w14:textId="77777777" w:rsidR="00B14FA3" w:rsidRPr="00B14FA3" w:rsidRDefault="00B14FA3" w:rsidP="00B14FA3">
      <w:pPr>
        <w:spacing w:line="360" w:lineRule="auto"/>
      </w:pPr>
      <w:r>
        <w:rPr>
          <w:rFonts w:ascii="Times New Roman" w:hAnsi="Times New Roman" w:eastAsia="宋体" w:cs="Times New Roman"/>
          <w:sz w:val="21"/>
          <w:szCs w:val="21"/>
        </w:rPr>
        <w:t>固定平均默认三个尺度对每个窗口同等重要，难以反映流量状态差异。本文从原始输入</w:t>
      </w:r>
      <w:r>
        <w:rPr>
          <w:rFonts w:ascii="Times New Roman" w:hAnsi="Times New Roman" w:eastAsia="宋体" w:cs="Times New Roman"/>
          <w:sz w:val="21"/>
          <w:szCs w:val="21"/>
          <w:i/>
          <w:iCs/>
          <w:b/>
          <w:bCs/>
        </w:rPr>
        <w:t>X</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提取四维统计向量</w:t>
      </w:r>
      <w:r>
        <w:rPr>
          <w:rFonts w:ascii="Times New Roman" w:hAnsi="Times New Roman" w:eastAsia="宋体" w:cs="Times New Roman"/>
          <w:sz w:val="21"/>
          <w:szCs w:val="21"/>
          <w:i/>
          <w:iCs/>
          <w:b/>
          <w:bCs/>
        </w:rPr>
        <w:t>z</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w:t>
      </w:r>
      <w:r>
        <w:rPr>
          <w:rFonts w:ascii="Times New Roman" w:hAnsi="Times New Roman" w:eastAsia="宋体" w:cs="Times New Roman"/>
          <w:sz w:val="21"/>
          <w:szCs w:val="21"/>
          <w:i/>
          <w:iCs/>
        </w:rPr>
        <w:t>μ</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w:t>
      </w:r>
      <w:r>
        <w:rPr>
          <w:rFonts w:ascii="Times New Roman" w:hAnsi="Times New Roman" w:eastAsia="宋体" w:cs="Times New Roman"/>
          <w:sz w:val="21"/>
          <w:szCs w:val="21"/>
          <w:i/>
          <w:iCs/>
        </w:rPr>
        <w:t>σ</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w:t>
      </w:r>
      <w:r>
        <w:rPr>
          <w:rFonts w:ascii="Times New Roman" w:hAnsi="Times New Roman" w:eastAsia="宋体" w:cs="Times New Roman"/>
          <w:sz w:val="21"/>
          <w:szCs w:val="21"/>
          <w:i/>
          <w:iCs/>
        </w:rPr>
        <w:t>ℓ</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w:t>
      </w:r>
      <w:r>
        <w:rPr>
          <w:rFonts w:ascii="Times New Roman" w:hAnsi="Times New Roman" w:eastAsia="宋体" w:cs="Times New Roman"/>
          <w:sz w:val="21"/>
          <w:szCs w:val="21"/>
          <w:i/>
          <w:iCs/>
        </w:rPr>
        <w:t>d</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]，其中</w:t>
      </w:r>
    </w:p>
    <w:p w14:paraId="102B0FFE"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5F113819"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32A1F318" w14:textId="77777777" w:rsidR="00B14FA3" w:rsidRPr="00B14FA3" w:rsidRDefault="00B14FA3" w:rsidP="00B14FA3">
      <w:pPr>
        <w:spacing w:line="360" w:lineRule="auto"/>
      </w:pPr>
      <w:r>
        <w:rPr>
          <w:rFonts w:ascii="Times New Roman" w:hAnsi="Times New Roman" w:eastAsia="宋体" w:cs="Times New Roman"/>
          <w:sz w:val="21"/>
          <w:szCs w:val="21"/>
          <w:i/>
          <w:iCs/>
        </w:rPr>
        <w:t>μ</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描述窗口总体水平，</w:t>
      </w:r>
      <w:r>
        <w:rPr>
          <w:rFonts w:ascii="Times New Roman" w:hAnsi="Times New Roman" w:eastAsia="宋体" w:cs="Times New Roman"/>
          <w:sz w:val="21"/>
          <w:szCs w:val="21"/>
          <w:i/>
          <w:iCs/>
        </w:rPr>
        <w:t>σ</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描述离散程度，</w:t>
      </w:r>
      <w:r>
        <w:rPr>
          <w:rFonts w:ascii="Times New Roman" w:hAnsi="Times New Roman" w:eastAsia="宋体" w:cs="Times New Roman"/>
          <w:sz w:val="21"/>
          <w:szCs w:val="21"/>
          <w:i/>
          <w:iCs/>
        </w:rPr>
        <w:t>ℓ</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描述最近时刻状态，</w:t>
      </w:r>
      <w:r>
        <w:rPr>
          <w:rFonts w:ascii="Times New Roman" w:hAnsi="Times New Roman" w:eastAsia="宋体" w:cs="Times New Roman"/>
          <w:sz w:val="21"/>
          <w:szCs w:val="21"/>
          <w:i/>
          <w:iCs/>
        </w:rPr>
        <w:t>d</w:t>
      </w:r>
      <w:r>
        <w:rPr>
          <w:rFonts w:ascii="Times New Roman" w:hAnsi="Times New Roman" w:eastAsia="宋体" w:cs="Times New Roman"/>
          <w:sz w:val="21"/>
          <w:szCs w:val="21"/>
          <w:i/>
          <w:iCs/>
          <w:vertAlign w:val="subscript"/>
        </w:rPr>
        <w:t>n</w:t>
      </w:r>
      <w:r>
        <w:rPr>
          <w:rFonts w:ascii="Times New Roman" w:hAnsi="Times New Roman" w:eastAsia="宋体" w:cs="Times New Roman"/>
          <w:sz w:val="21"/>
          <w:szCs w:val="21"/>
        </w:rPr>
        <w:t>描述平均变化强度。四维向量经隐藏维数为16的两层感知器得到三个尺度分数：</w:t>
      </w:r>
    </w:p>
    <w:p w14:paraId="09F7BBA9"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7FE6F0FF" w14:textId="77777777" w:rsidR="00B14FA3" w:rsidRPr="00B14FA3" w:rsidRDefault="00B14FA3" w:rsidP="00B14FA3">
      <w:pPr>
        <w:spacing w:line="360" w:lineRule="auto"/>
      </w:pPr>
      <w:r>
        <w:rPr>
          <w:rFonts w:ascii="Times New Roman" w:hAnsi="Times New Roman" w:eastAsia="宋体" w:cs="Times New Roman"/>
          <w:sz w:val="21"/>
          <w:szCs w:val="21"/>
        </w:rPr>
        <w:t>式中，两层感知器各自包含权重矩阵和偏置，输出为三个尺度的得分向量。</w:t>
      </w:r>
      <w:r w:rsidRPr="00B14FA3">
        <w:rPr>
          <w:rFonts w:eastAsia="宋体"/>
          <w:sz w:val="21"/>
          <w:szCs w:val="21"/>
        </w:rPr>
        <w:t>Softmax</w:t>
      </w:r>
      <w:r w:rsidRPr="00B14FA3">
        <w:rPr>
          <w:rFonts w:eastAsia="宋体"/>
          <w:sz w:val="21"/>
          <w:szCs w:val="21"/>
        </w:rPr>
        <w:t>将分数转换为非负、和为</w:t>
      </w:r>
      <w:r w:rsidRPr="00B14FA3">
        <w:rPr>
          <w:rFonts w:eastAsia="宋体"/>
          <w:sz w:val="21"/>
          <w:szCs w:val="21"/>
        </w:rPr>
        <w:t>1</w:t>
      </w:r>
      <w:r w:rsidRPr="00B14FA3">
        <w:rPr>
          <w:rFonts w:eastAsia="宋体"/>
          <w:sz w:val="21"/>
          <w:szCs w:val="21"/>
        </w:rPr>
        <w:t>的权重：</w:t>
      </w:r>
    </w:p>
    <w:p w14:paraId="59B8661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12315926" w14:textId="77777777" w:rsidR="00B14FA3" w:rsidRPr="00B14FA3" w:rsidRDefault="00B14FA3" w:rsidP="00B14FA3">
      <w:pPr>
        <w:spacing w:line="360" w:lineRule="auto"/>
      </w:pPr>
      <w:r w:rsidRPr="00B14FA3">
        <w:rPr>
          <w:rFonts w:eastAsia="宋体"/>
          <w:sz w:val="21"/>
          <w:szCs w:val="21"/>
        </w:rPr>
        <w:t>最终预测为</w:t>
      </w:r>
    </w:p>
    <w:p w14:paraId="0A35C3A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4B9F7DA9" w14:textId="77777777" w:rsidR="00B14FA3" w:rsidRPr="00B14FA3" w:rsidRDefault="00B14FA3" w:rsidP="00B14FA3">
      <w:pPr>
        <w:spacing w:line="360" w:lineRule="auto"/>
      </w:pPr>
      <w:r>
        <w:rPr>
          <w:rFonts w:ascii="Times New Roman" w:hAnsi="Times New Roman" w:eastAsia="宋体" w:cs="Times New Roman"/>
          <w:sz w:val="21"/>
          <w:szCs w:val="21"/>
        </w:rPr>
        <w:t>每个样本单独生成一组权重，同一样本的全部OD变量共享该组权重。这是一种样本级而不是变量级路由，可控制复杂度并便于解释。固定等权消融令</w:t>
      </w:r>
      <w:r>
        <w:rPr>
          <w:rFonts w:ascii="Times New Roman" w:hAnsi="Times New Roman" w:eastAsia="宋体" w:cs="Times New Roman"/>
          <w:sz w:val="21"/>
          <w:szCs w:val="21"/>
          <w:i/>
          <w:iCs/>
        </w:rPr>
        <w:t>α</w:t>
      </w:r>
      <w:r>
        <w:rPr>
          <w:rFonts w:ascii="Times New Roman" w:hAnsi="Times New Roman" w:eastAsia="宋体" w:cs="Times New Roman"/>
          <w:sz w:val="21"/>
          <w:szCs w:val="21"/>
          <w:i/>
          <w:iCs/>
          <w:vertAlign w:val="subscript"/>
        </w:rPr>
        <w:t>n,s</w:t>
      </w:r>
      <w:r>
        <w:rPr>
          <w:rFonts w:ascii="Times New Roman" w:hAnsi="Times New Roman" w:eastAsia="宋体" w:cs="Times New Roman"/>
          <w:sz w:val="21"/>
          <w:szCs w:val="21"/>
        </w:rPr>
        <w:t>=1/3，其他结构和训练过程完全不变，因此固定组与自适应组的误差差异主要反映权重生成方式。</w:t>
      </w:r>
    </w:p>
    <w:p w14:paraId="40A4ABBD"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sz w:val="21"/>
        </w:rPr>
        <w:t xml:space="preserve">1.5 </w:t>
      </w:r>
      <w:r w:rsidRPr="00B14FA3">
        <w:rPr>
          <w:rFonts w:eastAsia="黑体"/>
          <w:b/>
          <w:bCs/>
          <w:szCs w:val="21"/>
          <w:sz w:val="21"/>
        </w:rPr>
        <w:t>辅助频域门控</w:t>
      </w:r>
    </w:p>
    <w:p w14:paraId="085D485B" w14:textId="77777777" w:rsidR="00B14FA3" w:rsidRPr="00B14FA3" w:rsidRDefault="00B14FA3" w:rsidP="00B14FA3">
      <w:pPr>
        <w:spacing w:line="360" w:lineRule="auto"/>
      </w:pPr>
      <w:r>
        <w:rPr>
          <w:rFonts w:ascii="Times New Roman" w:hAnsi="Times New Roman" w:eastAsia="宋体" w:cs="Times New Roman"/>
          <w:sz w:val="21"/>
          <w:szCs w:val="21"/>
        </w:rPr>
        <w:t>对长度</w:t>
      </w:r>
      <w:r>
        <w:rPr>
          <w:rFonts w:ascii="Times New Roman" w:hAnsi="Times New Roman" w:eastAsia="宋体" w:cs="Times New Roman"/>
          <w:sz w:val="21"/>
          <w:szCs w:val="21"/>
          <w:i/>
          <w:iCs/>
        </w:rPr>
        <w:t>L</w:t>
      </w:r>
      <w:r>
        <w:rPr>
          <w:rFonts w:ascii="Times New Roman" w:hAnsi="Times New Roman" w:eastAsia="宋体" w:cs="Times New Roman"/>
          <w:sz w:val="21"/>
          <w:szCs w:val="21"/>
          <w:i/>
          <w:iCs/>
          <w:vertAlign w:val="subscript"/>
        </w:rPr>
        <w:t>s</w:t>
      </w:r>
      <w:r>
        <w:rPr>
          <w:rFonts w:ascii="Times New Roman" w:hAnsi="Times New Roman" w:eastAsia="宋体" w:cs="Times New Roman"/>
          <w:sz w:val="21"/>
          <w:szCs w:val="21"/>
        </w:rPr>
        <w:t>=</w:t>
      </w:r>
      <w:r>
        <w:rPr>
          <w:rFonts w:ascii="Times New Roman" w:hAnsi="Times New Roman" w:eastAsia="宋体" w:cs="Times New Roman"/>
          <w:sz w:val="21"/>
          <w:szCs w:val="21"/>
          <w:i/>
          <w:iCs/>
        </w:rPr>
        <w:t>L</w:t>
      </w:r>
      <w:r>
        <w:rPr>
          <w:rFonts w:ascii="Times New Roman" w:hAnsi="Times New Roman" w:eastAsia="宋体" w:cs="Times New Roman"/>
          <w:sz w:val="21"/>
          <w:szCs w:val="21"/>
        </w:rPr>
        <w:t>/</w:t>
      </w:r>
      <w:r>
        <w:rPr>
          <w:rFonts w:ascii="Times New Roman" w:hAnsi="Times New Roman" w:eastAsia="宋体" w:cs="Times New Roman"/>
          <w:sz w:val="21"/>
          <w:szCs w:val="21"/>
          <w:i/>
          <w:iCs/>
        </w:rPr>
        <w:t>s</w:t>
      </w:r>
      <w:r>
        <w:rPr>
          <w:rFonts w:ascii="Times New Roman" w:hAnsi="Times New Roman" w:eastAsia="宋体" w:cs="Times New Roman"/>
          <w:sz w:val="21"/>
          <w:szCs w:val="21"/>
        </w:rPr>
        <w:t>的尺度输入，先按样本和变量沿时间维计算均值与标准差，得到标准化序列：</w:t>
      </w:r>
    </w:p>
    <w:p w14:paraId="7DAD849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f>
          <m:fPr>
            <m:ctrlPr>
              <w:rPr>
                <w:rFonts w:ascii="Cambria Math" w:eastAsia="Cambria Math" w:hAnsi="Cambria Math"/>
                <w:i/>
              </w:rPr>
            </m:ctrlPr>
          </m:fPr>
          <m:num>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num>
          <m:den>
            <m:func>
              <m:funcPr>
                <m:ctrlPr>
                  <w:rPr>
                    <w:rFonts w:ascii="Cambria Math" w:eastAsia="Cambria Math" w:hAnsi="Cambria Math"/>
                  </w:rPr>
                </m:ctrlPr>
              </m:funcPr>
              <m:fName>
                <m:r>
                  <m:rPr>
                    <m:sty m:val="p"/>
                  </m:rPr>
                  <w:rPr>
                    <w:rFonts w:ascii="Cambria Math" w:eastAsia="Cambria Math" w:hAnsi="Cambria Math"/>
                    <w:kern w:val="0"/>
                    <w:szCs w:val="20"/>
                  </w:rPr>
                  <m:t>max</m:t>
                </m:r>
                <m:ctrlPr>
                  <w:rPr>
                    <w:rFonts w:ascii="Cambria Math" w:eastAsia="Cambria Math" w:hAnsi="Cambria Math"/>
                    <w:i/>
                  </w:rPr>
                </m:ctrlPr>
              </m:fName>
              <m:e>
                <m:d>
                  <m:dPr>
                    <m:ctrlPr>
                      <w:rPr>
                        <w:rFonts w:ascii="Cambria Math" w:eastAsia="Cambria Math" w:hAnsi="Cambria Math"/>
                        <w:i/>
                      </w:rPr>
                    </m:ctrlPr>
                  </m:dPr>
                  <m:e>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p>
                      <m:sSupPr>
                        <m:ctrlPr>
                          <w:rPr>
                            <w:rFonts w:ascii="Cambria Math" w:eastAsia="Cambria Math" w:hAnsi="Cambria Math"/>
                            <w:i/>
                          </w:rPr>
                        </m:ctrlPr>
                      </m:sSupPr>
                      <m:e>
                        <m:r>
                          <w:rPr>
                            <w:rFonts w:ascii="Cambria Math" w:eastAsia="Cambria Math" w:hAnsi="Cambria Math"/>
                            <w:kern w:val="0"/>
                            <w:szCs w:val="20"/>
                          </w:rPr>
                          <m:t>10</m:t>
                        </m:r>
                      </m:e>
                      <m:sup>
                        <m:d>
                          <m:dPr>
                            <m:begChr m:val="{"/>
                            <m:endChr m:val="}"/>
                            <m:ctrlPr>
                              <w:rPr>
                                <w:rFonts w:ascii="Cambria Math" w:eastAsia="Cambria Math" w:hAnsi="Cambria Math"/>
                                <w:i/>
                              </w:rPr>
                            </m:ctrlPr>
                          </m:dPr>
                          <m:e>
                            <m:r>
                              <w:rPr>
                                <w:rFonts w:ascii="Cambria Math" w:eastAsia="Cambria Math" w:hAnsi="Cambria Math"/>
                                <w:kern w:val="0"/>
                                <w:szCs w:val="20"/>
                              </w:rPr>
                              <m:t>-5</m:t>
                            </m:r>
                          </m:e>
                        </m:d>
                      </m:sup>
                    </m:sSup>
                  </m:e>
                </m:d>
              </m:e>
            </m:func>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04C4F4F8" w14:textId="77777777" w:rsidR="00B14FA3" w:rsidRPr="00B14FA3" w:rsidRDefault="00B14FA3" w:rsidP="00B14FA3">
      <w:pPr>
        <w:spacing w:line="360" w:lineRule="auto"/>
      </w:pPr>
      <w:r w:rsidRPr="00B14FA3">
        <w:rPr>
          <w:rFonts w:eastAsia="宋体"/>
          <w:sz w:val="21"/>
          <w:szCs w:val="21"/>
        </w:rPr>
        <w:t>沿时间维执行实数快速傅里叶变换：</w:t>
      </w:r>
    </w:p>
    <w:p w14:paraId="12F68CA9"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F</m:t>
            </m:r>
          </m:e>
          <m:sub>
            <m:d>
              <m:dPr>
                <m:begChr m:val="{"/>
                <m:endChr m:val="}"/>
                <m:ctrlPr>
                  <w:rPr>
                    <w:rFonts w:ascii="Cambria Math" w:eastAsia="Cambria Math" w:hAnsi="Cambria Math"/>
                    <w:i/>
                  </w:rPr>
                </m:ctrlPr>
              </m:dPr>
              <m:e>
                <m:r>
                  <w:rPr>
                    <w:rFonts w:ascii="Cambria Math" w:eastAsia="Cambria Math" w:hAnsi="Cambria Math"/>
                    <w:kern w:val="0"/>
                    <w:szCs w:val="20"/>
                  </w:rPr>
                  <m:t>n,k,c</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func>
          <m:funcPr>
            <m:ctrlPr>
              <w:rPr>
                <w:rFonts w:ascii="Cambria Math" w:eastAsia="Cambria Math" w:hAnsi="Cambria Math"/>
              </w:rPr>
            </m:ctrlPr>
          </m:funcPr>
          <m:fName>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t=0</m:t>
                    </m:r>
                  </m:e>
                </m:d>
              </m:sub>
              <m:sup>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L</m:t>
                        </m:r>
                      </m:e>
                      <m:sub>
                        <m:r>
                          <w:rPr>
                            <w:rFonts w:ascii="Cambria Math" w:eastAsia="Cambria Math" w:hAnsi="Cambria Math"/>
                            <w:kern w:val="0"/>
                            <w:szCs w:val="20"/>
                          </w:rPr>
                          <m:t>s</m:t>
                        </m:r>
                      </m:sub>
                    </m:sSub>
                    <m:r>
                      <w:rPr>
                        <w:rFonts w:ascii="Cambria Math" w:eastAsia="Cambria Math" w:hAnsi="Cambria Math"/>
                        <w:kern w:val="0"/>
                        <w:szCs w:val="20"/>
                      </w:rPr>
                      <m:t>-1</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n,t,c</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r>
                      <m:rPr>
                        <m:sty m:val="p"/>
                      </m:rPr>
                      <w:rPr>
                        <w:rFonts w:ascii="Cambria Math" w:eastAsia="Cambria Math" w:hAnsi="Cambria Math"/>
                        <w:kern w:val="0"/>
                        <w:szCs w:val="20"/>
                      </w:rPr>
                      <m:t>exp</m:t>
                    </m:r>
                  </m:sup>
                </m:sSubSup>
              </m:sup>
            </m:sSubSup>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m:t>
                </m:r>
                <m:f>
                  <m:fPr>
                    <m:ctrlPr>
                      <w:rPr>
                        <w:rFonts w:ascii="Cambria Math" w:eastAsia="Cambria Math" w:hAnsi="Cambria Math"/>
                        <w:i/>
                      </w:rPr>
                    </m:ctrlPr>
                  </m:fPr>
                  <m:num>
                    <m:r>
                      <w:rPr>
                        <w:rFonts w:ascii="Cambria Math" w:eastAsia="Cambria Math" w:hAnsi="Cambria Math"/>
                        <w:kern w:val="0"/>
                        <w:szCs w:val="20"/>
                      </w:rPr>
                      <m:t>j2πkt</m:t>
                    </m:r>
                  </m:num>
                  <m:den>
                    <m:sSub>
                      <m:sSubPr>
                        <m:ctrlPr>
                          <w:rPr>
                            <w:rFonts w:ascii="Cambria Math" w:eastAsia="Cambria Math" w:hAnsi="Cambria Math"/>
                            <w:i/>
                          </w:rPr>
                        </m:ctrlPr>
                      </m:sSubPr>
                      <m:e>
                        <m:r>
                          <w:rPr>
                            <w:rFonts w:ascii="Cambria Math" w:eastAsia="Cambria Math" w:hAnsi="Cambria Math"/>
                            <w:kern w:val="0"/>
                            <w:szCs w:val="20"/>
                          </w:rPr>
                          <m:t>L</m:t>
                        </m:r>
                      </m:e>
                      <m:sub>
                        <m:r>
                          <w:rPr>
                            <w:rFonts w:ascii="Cambria Math" w:eastAsia="Cambria Math" w:hAnsi="Cambria Math"/>
                            <w:kern w:val="0"/>
                            <w:szCs w:val="20"/>
                          </w:rPr>
                          <m:t>s</m:t>
                        </m:r>
                      </m:sub>
                    </m:sSub>
                  </m:den>
                </m:f>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(15)</w:t>
      </w:r>
    </w:p>
    <w:p w14:paraId="177EFC93" w14:textId="77777777" w:rsidR="00B14FA3" w:rsidRPr="00B14FA3" w:rsidRDefault="00B14FA3" w:rsidP="00B14FA3">
      <w:pPr>
        <w:spacing w:line="360" w:lineRule="auto"/>
      </w:pPr>
      <w:r>
        <w:rPr>
          <w:rFonts w:ascii="Times New Roman" w:hAnsi="Times New Roman" w:eastAsia="宋体" w:cs="Times New Roman"/>
          <w:sz w:val="21"/>
          <w:szCs w:val="21"/>
        </w:rPr>
        <w:t>式中，频域系数表示第</w:t>
      </w:r>
      <w:r>
        <w:rPr>
          <w:rFonts w:ascii="Times New Roman" w:hAnsi="Times New Roman" w:eastAsia="宋体" w:cs="Times New Roman"/>
          <w:sz w:val="21"/>
          <w:szCs w:val="21"/>
          <w:i/>
          <w:iCs/>
        </w:rPr>
        <w:t>n</w:t>
      </w:r>
      <w:r>
        <w:rPr>
          <w:rFonts w:ascii="Times New Roman" w:hAnsi="Times New Roman" w:eastAsia="宋体" w:cs="Times New Roman"/>
          <w:sz w:val="21"/>
          <w:szCs w:val="21"/>
        </w:rPr>
        <w:t>个样本在尺度</w:t>
      </w:r>
      <w:r>
        <w:rPr>
          <w:rFonts w:ascii="Times New Roman" w:hAnsi="Times New Roman" w:eastAsia="宋体" w:cs="Times New Roman"/>
          <w:sz w:val="21"/>
          <w:szCs w:val="21"/>
          <w:i/>
          <w:iCs/>
        </w:rPr>
        <w:t>s</w:t>
      </w:r>
      <w:r>
        <w:rPr>
          <w:rFonts w:ascii="Times New Roman" w:hAnsi="Times New Roman" w:eastAsia="宋体" w:cs="Times New Roman"/>
          <w:sz w:val="21"/>
          <w:szCs w:val="21"/>
        </w:rPr>
        <w:t>、频率索引</w:t>
      </w:r>
      <w:r>
        <w:rPr>
          <w:rFonts w:ascii="Times New Roman" w:hAnsi="Times New Roman" w:eastAsia="宋体" w:cs="Times New Roman"/>
          <w:sz w:val="21"/>
          <w:szCs w:val="21"/>
          <w:i/>
          <w:iCs/>
        </w:rPr>
        <w:t>k</w:t>
      </w:r>
      <w:r>
        <w:rPr>
          <w:rFonts w:ascii="Times New Roman" w:hAnsi="Times New Roman" w:eastAsia="宋体" w:cs="Times New Roman"/>
          <w:sz w:val="21"/>
          <w:szCs w:val="21"/>
        </w:rPr>
        <w:t>和变量</w:t>
      </w:r>
      <w:r>
        <w:rPr>
          <w:rFonts w:ascii="Times New Roman" w:hAnsi="Times New Roman" w:eastAsia="宋体" w:cs="Times New Roman"/>
          <w:sz w:val="21"/>
          <w:szCs w:val="21"/>
          <w:i/>
          <w:iCs/>
        </w:rPr>
        <w:t>c</w:t>
      </w:r>
      <w:r>
        <w:rPr>
          <w:rFonts w:ascii="Times New Roman" w:hAnsi="Times New Roman" w:eastAsia="宋体" w:cs="Times New Roman"/>
          <w:sz w:val="21"/>
          <w:szCs w:val="21"/>
        </w:rPr>
        <w:t>处的复数谱值，</w:t>
      </w:r>
      <w:r>
        <w:rPr>
          <w:rFonts w:ascii="Times New Roman" w:hAnsi="Times New Roman" w:eastAsia="宋体" w:cs="Times New Roman"/>
          <w:sz w:val="21"/>
          <w:szCs w:val="21"/>
          <w:i/>
          <w:iCs/>
        </w:rPr>
        <w:t>k</w:t>
      </w:r>
      <w:r>
        <w:rPr>
          <w:rFonts w:ascii="Times New Roman" w:hAnsi="Times New Roman" w:eastAsia="宋体" w:cs="Times New Roman"/>
          <w:sz w:val="21"/>
          <w:szCs w:val="21"/>
        </w:rPr>
        <w:t>为频率索引，</w:t>
      </w:r>
      <w:r>
        <w:rPr>
          <w:rFonts w:ascii="Times New Roman" w:hAnsi="Times New Roman" w:eastAsia="宋体" w:cs="Times New Roman"/>
          <w:sz w:val="21"/>
          <w:szCs w:val="21"/>
          <w:i/>
          <w:iCs/>
        </w:rPr>
        <w:t>j</w:t>
      </w:r>
      <w:r>
        <w:rPr>
          <w:rFonts w:ascii="Times New Roman" w:hAnsi="Times New Roman" w:eastAsia="宋体" w:cs="Times New Roman"/>
          <w:sz w:val="21"/>
          <w:szCs w:val="21"/>
        </w:rPr>
        <w:t>为虚数单位。实值快速傅里叶变换（real fast Fourier transform，RFFT）共有</w:t>
      </w:r>
      <w:r>
        <w:rPr>
          <w:rFonts w:ascii="Times New Roman" w:hAnsi="Times New Roman" w:eastAsia="宋体" w:cs="Times New Roman"/>
          <w:sz w:val="21"/>
          <w:szCs w:val="21"/>
          <w:i/>
          <w:iCs/>
        </w:rPr>
        <w:t>L</w:t>
      </w:r>
      <w:r>
        <w:rPr>
          <w:rFonts w:ascii="Times New Roman" w:hAnsi="Times New Roman" w:eastAsia="宋体" w:cs="Times New Roman"/>
          <w:sz w:val="21"/>
          <w:szCs w:val="21"/>
          <w:i/>
          <w:iCs/>
          <w:vertAlign w:val="subscript"/>
        </w:rPr>
        <w:t>s</w:t>
      </w:r>
      <w:r>
        <w:rPr>
          <w:rFonts w:ascii="Times New Roman" w:hAnsi="Times New Roman" w:eastAsia="宋体" w:cs="Times New Roman"/>
          <w:sz w:val="21"/>
          <w:szCs w:val="21"/>
        </w:rPr>
        <w:t>/2+1个非负频率。按比例</w:t>
      </w:r>
      <w:r>
        <w:rPr>
          <w:rFonts w:ascii="Times New Roman" w:hAnsi="Times New Roman" w:eastAsia="宋体" w:cs="Times New Roman"/>
          <w:sz w:val="21"/>
          <w:szCs w:val="21"/>
          <w:i/>
          <w:iCs/>
        </w:rPr>
        <w:t>r</w:t>
      </w:r>
      <w:r>
        <w:rPr>
          <w:rFonts w:ascii="Times New Roman" w:hAnsi="Times New Roman" w:eastAsia="宋体" w:cs="Times New Roman"/>
          <w:sz w:val="21"/>
          <w:szCs w:val="21"/>
        </w:rPr>
        <w:t>保留低频个数</w:t>
      </w:r>
    </w:p>
    <w:p w14:paraId="7DAC4A52"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K</m:t>
            </m:r>
          </m:e>
          <m:sub>
            <m:r>
              <w:rPr>
                <w:rFonts w:ascii="Cambria Math" w:eastAsia="Cambria Math" w:hAnsi="Cambria Math"/>
                <w:kern w:val="0"/>
                <w:szCs w:val="20"/>
              </w:rPr>
              <m:t>s</m:t>
            </m:r>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max</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2,</m:t>
                </m:r>
                <m:d>
                  <m:dPr>
                    <m:begChr m:val="⌊"/>
                    <m:endChr m:val="⌋"/>
                    <m:ctrlPr>
                      <w:rPr>
                        <w:rFonts w:ascii="Cambria Math" w:eastAsia="Cambria Math" w:hAnsi="Cambria Math"/>
                        <w:i/>
                      </w:rPr>
                    </m:ctrlPr>
                  </m:dPr>
                  <m:e>
                    <m:r>
                      <w:rPr>
                        <w:rFonts w:ascii="Cambria Math" w:eastAsia="Cambria Math" w:hAnsi="Cambria Math"/>
                        <w:kern w:val="0"/>
                        <w:szCs w:val="20"/>
                      </w:rPr>
                      <m:t>r</m:t>
                    </m:r>
                    <m:d>
                      <m:dPr>
                        <m:ctrlPr>
                          <w:rPr>
                            <w:rFonts w:ascii="Cambria Math" w:eastAsia="Cambria Math" w:hAnsi="Cambria Math"/>
                            <w:i/>
                          </w:rPr>
                        </m:ctrlPr>
                      </m:dPr>
                      <m:e>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L</m:t>
                                </m:r>
                              </m:e>
                              <m:sub>
                                <m:r>
                                  <w:rPr>
                                    <w:rFonts w:ascii="Cambria Math" w:eastAsia="Cambria Math" w:hAnsi="Cambria Math"/>
                                    <w:kern w:val="0"/>
                                    <w:szCs w:val="20"/>
                                  </w:rPr>
                                  <m:t>s</m:t>
                                </m:r>
                              </m:sub>
                            </m:sSub>
                          </m:num>
                          <m:den>
                            <m:r>
                              <w:rPr>
                                <w:rFonts w:ascii="Cambria Math" w:eastAsia="Cambria Math" w:hAnsi="Cambria Math"/>
                                <w:kern w:val="0"/>
                                <w:szCs w:val="20"/>
                              </w:rPr>
                              <m:t>2</m:t>
                            </m:r>
                          </m:den>
                        </m:f>
                        <m:r>
                          <w:rPr>
                            <w:rFonts w:ascii="Cambria Math" w:eastAsia="Cambria Math" w:hAnsi="Cambria Math"/>
                            <w:kern w:val="0"/>
                            <w:szCs w:val="20"/>
                          </w:rPr>
                          <m:t>+1</m:t>
                        </m:r>
                      </m:e>
                    </m:d>
                  </m:e>
                </m:d>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(16)</w:t>
      </w:r>
    </w:p>
    <w:p w14:paraId="55AC3176" w14:textId="77777777" w:rsidR="00B14FA3" w:rsidRPr="00B14FA3" w:rsidRDefault="00B14FA3" w:rsidP="00B14FA3">
      <w:pPr>
        <w:spacing w:line="360" w:lineRule="auto"/>
      </w:pPr>
      <w:r w:rsidRPr="00B14FA3">
        <w:rPr>
          <w:rFonts w:eastAsia="宋体"/>
          <w:sz w:val="21"/>
          <w:szCs w:val="21"/>
        </w:rPr>
        <w:t>并对保留频率施加可学习门控：</w:t>
      </w:r>
    </w:p>
    <w:p w14:paraId="49F25781"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acc>
              <m:accPr>
                <m:ctrlPr>
                  <w:rPr>
                    <w:rFonts w:ascii="Cambria Math" w:eastAsia="Cambria Math" w:hAnsi="Cambria Math"/>
                    <w:i/>
                  </w:rPr>
                </m:ctrlPr>
              </m:accPr>
              <m:e>
                <m:r>
                  <m:rPr>
                    <m:sty m:val="bi"/>
                  </m:rPr>
                  <w:rPr>
                    <w:rFonts w:ascii="Cambria Math" w:eastAsia="Cambria Math" w:hAnsi="Cambria Math"/>
                    <w:kern w:val="0"/>
                    <w:szCs w:val="20"/>
                  </w:rPr>
                  <m:t>F</m:t>
                </m:r>
              </m:e>
            </m:acc>
          </m:e>
          <m:sub>
            <m:d>
              <m:dPr>
                <m:begChr m:val="{"/>
                <m:endChr m:val="}"/>
                <m:ctrlPr>
                  <w:rPr>
                    <w:rFonts w:ascii="Cambria Math" w:eastAsia="Cambria Math" w:hAnsi="Cambria Math"/>
                    <w:i/>
                  </w:rPr>
                </m:ctrlPr>
              </m:dPr>
              <m:e>
                <m:r>
                  <w:rPr>
                    <w:rFonts w:ascii="Cambria Math" w:eastAsia="Cambria Math" w:hAnsi="Cambria Math"/>
                    <w:kern w:val="0"/>
                    <w:szCs w:val="20"/>
                  </w:rPr>
                  <m:t>n,k,c</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m:rPr>
            <m:sty m:val="p"/>
          </m:rPr>
          <w:rPr>
            <w:rFonts w:ascii="Cambria Math" w:eastAsia="Cambria Math" w:hAnsi="Cambria Math"/>
            <w:kern w:val="0"/>
            <w:szCs w:val="20"/>
          </w:rPr>
          <m:t>=sigmoid</m:t>
        </m:r>
        <m:d>
          <m:dPr>
            <m:ctrlPr>
              <w:rPr>
                <w:rFonts w:ascii="Cambria Math" w:eastAsia="Cambria Math" w:hAnsi="Cambria Math"/>
                <w:i/>
              </w:rPr>
            </m:ctrlPr>
          </m:dPr>
          <m:e>
            <m:sSubSup>
              <m:sSubSupPr>
                <m:ctrlPr>
                  <w:rPr>
                    <w:rFonts w:ascii="Cambria Math" w:eastAsia="Cambria Math" w:hAnsi="Cambria Math"/>
                    <w:i/>
                  </w:rPr>
                </m:ctrlPr>
              </m:sSubSupPr>
              <m:e>
                <m:r>
                  <w:rPr>
                    <w:rFonts w:ascii="Cambria Math" w:eastAsia="Cambria Math" w:hAnsi="Cambria Math"/>
                    <w:kern w:val="0"/>
                    <w:szCs w:val="20"/>
                  </w:rPr>
                  <m:t>g</m:t>
                </m:r>
              </m:e>
              <m:sub>
                <m:r>
                  <w:rPr>
                    <w:rFonts w:ascii="Cambria Math" w:eastAsia="Cambria Math" w:hAnsi="Cambria Math"/>
                    <w:kern w:val="0"/>
                    <w:szCs w:val="20"/>
                  </w:rPr>
                  <m:t>k</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e>
        </m:d>
        <m:sSubSup>
          <m:sSubSupPr>
            <m:ctrlPr>
              <w:rPr>
                <w:rFonts w:ascii="Cambria Math" w:eastAsia="Cambria Math" w:hAnsi="Cambria Math"/>
                <w:i/>
              </w:rPr>
            </m:ctrlPr>
          </m:sSubSupPr>
          <m:e>
            <m:r>
              <m:rPr>
                <m:sty m:val="bi"/>
              </m:rPr>
              <w:rPr>
                <w:rFonts w:ascii="Cambria Math" w:eastAsia="Cambria Math" w:hAnsi="Cambria Math"/>
                <w:kern w:val="0"/>
                <w:szCs w:val="20"/>
              </w:rPr>
              <m:t>F</m:t>
            </m:r>
          </m:e>
          <m:sub>
            <m:d>
              <m:dPr>
                <m:begChr m:val="{"/>
                <m:endChr m:val="}"/>
                <m:ctrlPr>
                  <w:rPr>
                    <w:rFonts w:ascii="Cambria Math" w:eastAsia="Cambria Math" w:hAnsi="Cambria Math"/>
                    <w:i/>
                  </w:rPr>
                </m:ctrlPr>
              </m:dPr>
              <m:e>
                <m:r>
                  <w:rPr>
                    <w:rFonts w:ascii="Cambria Math" w:eastAsia="Cambria Math" w:hAnsi="Cambria Math"/>
                    <w:kern w:val="0"/>
                    <w:szCs w:val="20"/>
                  </w:rPr>
                  <m:t>n,k,c</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 k&lt;</m:t>
        </m:r>
        <m:sSub>
          <m:sSubPr>
            <m:ctrlPr>
              <w:rPr>
                <w:rFonts w:ascii="Cambria Math" w:eastAsia="Cambria Math" w:hAnsi="Cambria Math"/>
                <w:i/>
              </w:rPr>
            </m:ctrlPr>
          </m:sSubPr>
          <m:e>
            <m:r>
              <w:rPr>
                <w:rFonts w:ascii="Cambria Math" w:eastAsia="Cambria Math" w:hAnsi="Cambria Math"/>
                <w:kern w:val="0"/>
                <w:szCs w:val="20"/>
              </w:rPr>
              <m:t>K</m:t>
            </m:r>
          </m:e>
          <m:sub>
            <m:r>
              <w:rPr>
                <w:rFonts w:ascii="Cambria Math" w:eastAsia="Cambria Math" w:hAnsi="Cambria Math"/>
                <w:kern w:val="0"/>
                <w:szCs w:val="20"/>
              </w:rPr>
              <m:t>s</m:t>
            </m:r>
          </m:sub>
        </m:sSub>
        <m:r>
          <w:rPr>
            <w:rFonts w:ascii="Cambria Math" w:eastAsia="Cambria Math" w:hAnsi="Cambria Math"/>
            <w:kern w:val="0"/>
            <w:szCs w:val="20"/>
          </w:rPr>
          <m:t xml:space="preserve">;     </m:t>
        </m:r>
        <m:sSubSup>
          <m:sSubSupPr>
            <m:ctrlPr>
              <w:rPr>
                <w:rFonts w:ascii="Cambria Math" w:eastAsia="Cambria Math" w:hAnsi="Cambria Math"/>
                <w:i/>
              </w:rPr>
            </m:ctrlPr>
          </m:sSubSupPr>
          <m:e>
            <m:acc>
              <m:accPr>
                <m:ctrlPr>
                  <w:rPr>
                    <w:rFonts w:ascii="Cambria Math" w:eastAsia="Cambria Math" w:hAnsi="Cambria Math"/>
                    <w:i/>
                  </w:rPr>
                </m:ctrlPr>
              </m:accPr>
              <m:e>
                <m:r>
                  <m:rPr>
                    <m:sty m:val="bi"/>
                  </m:rPr>
                  <w:rPr>
                    <w:rFonts w:ascii="Cambria Math" w:eastAsia="Cambria Math" w:hAnsi="Cambria Math"/>
                    <w:kern w:val="0"/>
                    <w:szCs w:val="20"/>
                  </w:rPr>
                  <m:t>F</m:t>
                </m:r>
              </m:e>
            </m:acc>
          </m:e>
          <m:sub>
            <m:d>
              <m:dPr>
                <m:begChr m:val="{"/>
                <m:endChr m:val="}"/>
                <m:ctrlPr>
                  <w:rPr>
                    <w:rFonts w:ascii="Cambria Math" w:eastAsia="Cambria Math" w:hAnsi="Cambria Math"/>
                    <w:i/>
                  </w:rPr>
                </m:ctrlPr>
              </m:dPr>
              <m:e>
                <m:r>
                  <w:rPr>
                    <w:rFonts w:ascii="Cambria Math" w:eastAsia="Cambria Math" w:hAnsi="Cambria Math"/>
                    <w:kern w:val="0"/>
                    <w:szCs w:val="20"/>
                  </w:rPr>
                  <m:t>n,k,c</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=0, k≥</m:t>
        </m:r>
        <m:sSub>
          <m:sSubPr>
            <m:ctrlPr>
              <w:rPr>
                <w:rFonts w:ascii="Cambria Math" w:eastAsia="Cambria Math" w:hAnsi="Cambria Math"/>
                <w:i/>
              </w:rPr>
            </m:ctrlPr>
          </m:sSubPr>
          <m:e>
            <m:r>
              <w:rPr>
                <w:rFonts w:ascii="Cambria Math" w:eastAsia="Cambria Math" w:hAnsi="Cambria Math"/>
                <w:kern w:val="0"/>
                <w:szCs w:val="20"/>
              </w:rPr>
              <m:t>K</m:t>
            </m:r>
          </m:e>
          <m:sub>
            <m:r>
              <w:rPr>
                <w:rFonts w:ascii="Cambria Math" w:eastAsia="Cambria Math" w:hAnsi="Cambria Math"/>
                <w:kern w:val="0"/>
                <w:szCs w:val="20"/>
              </w:rPr>
              <m:t>s</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(17)</w:t>
      </w:r>
    </w:p>
    <w:p w14:paraId="7113CF52" w14:textId="77777777" w:rsidR="00B14FA3" w:rsidRPr="00B14FA3" w:rsidRDefault="00B14FA3" w:rsidP="00B14FA3">
      <w:pPr>
        <w:spacing w:line="360" w:lineRule="auto"/>
      </w:pPr>
      <w:r>
        <w:rPr>
          <w:rFonts w:ascii="Times New Roman" w:hAnsi="Times New Roman" w:eastAsia="宋体" w:cs="Times New Roman"/>
          <w:sz w:val="21"/>
          <w:szCs w:val="21"/>
        </w:rPr>
        <w:t>式中，可学习门控参数按尺度s和频率索引k定义，用于调节对应保留频率的幅值。</w:t>
      </w:r>
      <w:r w:rsidRPr="00B14FA3">
        <w:rPr>
          <w:rFonts w:eastAsia="宋体"/>
          <w:sz w:val="21"/>
          <w:szCs w:val="21"/>
        </w:rPr>
        <w:t>门控参数在同一尺度内按频率共享给所有</w:t>
      </w:r>
      <w:r w:rsidRPr="00B14FA3">
        <w:rPr>
          <w:rFonts w:eastAsia="宋体"/>
          <w:sz w:val="21"/>
          <w:szCs w:val="21"/>
        </w:rPr>
        <w:t>OD</w:t>
      </w:r>
      <w:r w:rsidRPr="00B14FA3">
        <w:rPr>
          <w:rFonts w:eastAsia="宋体"/>
          <w:sz w:val="21"/>
          <w:szCs w:val="21"/>
        </w:rPr>
        <w:t>变量。</w:t>
      </w:r>
      <w:r w:rsidRPr="00B14FA3">
        <w:rPr>
          <w:rFonts w:eastAsia="宋体"/>
          <w:sz w:val="21"/>
          <w:szCs w:val="21"/>
        </w:rPr>
        <w:t>IRFFT</w:t>
      </w:r>
      <w:r w:rsidRPr="00B14FA3">
        <w:rPr>
          <w:rFonts w:eastAsia="宋体"/>
          <w:sz w:val="21"/>
          <w:szCs w:val="21"/>
        </w:rPr>
        <w:t>将信号恢复到时域，再还原窗口均值与标</w:t>
      </w:r>
      <w:r w:rsidRPr="00B14FA3">
        <w:rPr>
          <w:rFonts w:eastAsia="宋体"/>
          <w:sz w:val="21"/>
          <w:szCs w:val="21"/>
        </w:rPr>
        <w:lastRenderedPageBreak/>
        <w:t>准差。实验比较</w:t>
      </w:r>
      <w:r w:rsidRPr="00B14FA3">
        <w:rPr>
          <w:rFonts w:eastAsia="宋体"/>
          <w:sz w:val="21"/>
          <w:szCs w:val="21"/>
        </w:rPr>
        <w:t>r</w:t>
      </w:r>
      <w:r w:rsidRPr="00B14FA3">
        <w:rPr>
          <w:rFonts w:ascii="Cambria Math" w:hAnsi="Cambria Math" w:cs="Cambria Math"/>
        </w:rPr>
        <w:t>∈</w:t>
      </w:r>
      <w:r w:rsidRPr="00B14FA3">
        <w:rPr>
          <w:rFonts w:eastAsia="宋体"/>
          <w:sz w:val="21"/>
          <w:szCs w:val="21"/>
        </w:rPr>
        <w:t>{0.25,0.50,0.75}</w:t>
      </w:r>
      <w:r w:rsidRPr="00B14FA3">
        <w:rPr>
          <w:rFonts w:eastAsia="宋体"/>
          <w:sz w:val="21"/>
          <w:szCs w:val="21"/>
        </w:rPr>
        <w:t>。该设计把频域处理限定为可控低通和衰减，不将其等同于</w:t>
      </w:r>
      <w:r w:rsidRPr="00B14FA3">
        <w:rPr>
          <w:rFonts w:eastAsia="宋体"/>
          <w:sz w:val="21"/>
          <w:szCs w:val="21"/>
        </w:rPr>
        <w:t>FITS[10]</w:t>
      </w:r>
      <w:r w:rsidRPr="00B14FA3">
        <w:rPr>
          <w:rFonts w:eastAsia="宋体"/>
          <w:sz w:val="21"/>
          <w:szCs w:val="21"/>
        </w:rPr>
        <w:t>的复数频率插值。</w:t>
      </w:r>
    </w:p>
    <w:p w14:paraId="2005665E"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sz w:val="21"/>
        </w:rPr>
        <w:t xml:space="preserve">1.6 </w:t>
      </w:r>
      <w:r w:rsidRPr="00B14FA3">
        <w:rPr>
          <w:rFonts w:eastAsia="黑体"/>
          <w:b/>
          <w:bCs/>
          <w:szCs w:val="21"/>
          <w:sz w:val="21"/>
        </w:rPr>
        <w:t>训练目标与复杂度</w:t>
      </w:r>
    </w:p>
    <w:p w14:paraId="0A34D515" w14:textId="77777777" w:rsidR="00B14FA3" w:rsidRPr="00B14FA3" w:rsidRDefault="00B14FA3" w:rsidP="00B14FA3">
      <w:pPr>
        <w:spacing w:line="360" w:lineRule="auto"/>
      </w:pPr>
      <w:r w:rsidRPr="00B14FA3">
        <w:rPr>
          <w:rFonts w:eastAsia="宋体"/>
          <w:sz w:val="21"/>
          <w:szCs w:val="21"/>
        </w:rPr>
        <w:t>模型以所有样本、预测时刻和</w:t>
      </w:r>
      <w:r w:rsidRPr="00B14FA3">
        <w:rPr>
          <w:rFonts w:eastAsia="宋体"/>
          <w:sz w:val="21"/>
          <w:szCs w:val="21"/>
        </w:rPr>
        <w:t>OD</w:t>
      </w:r>
      <w:r w:rsidRPr="00B14FA3">
        <w:rPr>
          <w:rFonts w:eastAsia="宋体"/>
          <w:sz w:val="21"/>
          <w:szCs w:val="21"/>
        </w:rPr>
        <w:t>变量上的均方误差为目标：</w:t>
      </w:r>
    </w:p>
    <w:p w14:paraId="27DF2B32"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(18)</w:t>
      </w:r>
    </w:p>
    <w:p w14:paraId="3788E938" w14:textId="77777777" w:rsidR="00B14FA3" w:rsidRPr="00B14FA3" w:rsidRDefault="00B14FA3" w:rsidP="00B14FA3">
      <w:pPr>
        <w:spacing w:line="360" w:lineRule="auto"/>
      </w:pPr>
      <w:r>
        <w:rPr>
          <w:rFonts w:ascii="Times New Roman" w:hAnsi="Times New Roman" w:eastAsia="宋体" w:cs="Times New Roman"/>
          <w:sz w:val="21"/>
          <w:szCs w:val="21"/>
        </w:rPr>
        <w:t>式中，N为训练样本数，损失函数表示训练样本、预测时刻和OD变量上的平均平方误差。</w:t>
      </w:r>
      <w:r w:rsidRPr="00B14FA3">
        <w:rPr>
          <w:rFonts w:eastAsia="宋体"/>
          <w:sz w:val="21"/>
          <w:szCs w:val="21"/>
        </w:rPr>
        <w:t>使用</w:t>
      </w:r>
      <w:r w:rsidRPr="00B14FA3">
        <w:rPr>
          <w:rFonts w:eastAsia="宋体"/>
          <w:sz w:val="21"/>
          <w:szCs w:val="21"/>
        </w:rPr>
        <w:t>Adam</w:t>
      </w:r>
      <w:r w:rsidRPr="00B14FA3">
        <w:rPr>
          <w:rFonts w:eastAsia="宋体"/>
          <w:sz w:val="21"/>
          <w:szCs w:val="21"/>
        </w:rPr>
        <w:t>优化器更新参数，模型选择只依据验证集</w:t>
      </w:r>
      <w:r w:rsidRPr="00B14FA3">
        <w:rPr>
          <w:rFonts w:eastAsia="宋体"/>
          <w:sz w:val="21"/>
          <w:szCs w:val="21"/>
        </w:rPr>
        <w:t>均方误差</w:t>
      </w:r>
      <w:r w:rsidRPr="00B14FA3">
        <w:rPr>
          <w:rFonts w:eastAsia="宋体"/>
          <w:sz w:val="21"/>
          <w:szCs w:val="21"/>
        </w:rPr>
        <w:t>。无频域自适应多尺度模型含</w:t>
      </w:r>
      <w:r w:rsidRPr="00B14FA3">
        <w:rPr>
          <w:rFonts w:eastAsia="宋体"/>
          <w:sz w:val="21"/>
          <w:szCs w:val="21"/>
        </w:rPr>
        <w:t>8339</w:t>
      </w:r>
      <w:r w:rsidRPr="00B14FA3">
        <w:rPr>
          <w:rFonts w:eastAsia="宋体"/>
          <w:sz w:val="21"/>
          <w:szCs w:val="21"/>
        </w:rPr>
        <w:t>个可训练参数；加入频域门控后，参数量随保留频率数变化，</w:t>
      </w:r>
      <w:r w:rsidRPr="00B14FA3">
        <w:rPr>
          <w:rFonts w:eastAsia="宋体"/>
          <w:sz w:val="21"/>
          <w:szCs w:val="21"/>
          <w:i/>
          <w:iCs/>
        </w:rPr>
        <w:t>r</w:t>
      </w:r>
      <w:r w:rsidRPr="00B14FA3">
        <w:rPr>
          <w:rFonts w:eastAsia="宋体"/>
          <w:sz w:val="21"/>
          <w:szCs w:val="21"/>
        </w:rPr>
        <w:t>=0.50</w:t>
      </w:r>
      <w:r w:rsidRPr="00B14FA3">
        <w:rPr>
          <w:rFonts w:eastAsia="宋体"/>
          <w:sz w:val="21"/>
          <w:szCs w:val="21"/>
        </w:rPr>
        <w:t>和</w:t>
      </w:r>
      <w:r w:rsidRPr="00B14FA3">
        <w:rPr>
          <w:rFonts w:eastAsia="宋体"/>
          <w:sz w:val="21"/>
          <w:szCs w:val="21"/>
          <w:i/>
          <w:iCs/>
        </w:rPr>
        <w:t>r</w:t>
      </w:r>
      <w:r w:rsidRPr="00B14FA3">
        <w:rPr>
          <w:rFonts w:eastAsia="宋体"/>
          <w:sz w:val="21"/>
          <w:szCs w:val="21"/>
        </w:rPr>
        <w:t>=0.75</w:t>
      </w:r>
      <w:r w:rsidRPr="00B14FA3">
        <w:rPr>
          <w:rFonts w:eastAsia="宋体"/>
          <w:sz w:val="21"/>
          <w:szCs w:val="21"/>
        </w:rPr>
        <w:t>时分别为</w:t>
      </w:r>
      <w:r w:rsidRPr="00B14FA3">
        <w:rPr>
          <w:rFonts w:eastAsia="宋体"/>
          <w:sz w:val="21"/>
          <w:szCs w:val="21"/>
        </w:rPr>
        <w:t>8381</w:t>
      </w:r>
      <w:r w:rsidRPr="00B14FA3">
        <w:rPr>
          <w:rFonts w:eastAsia="宋体"/>
          <w:sz w:val="21"/>
          <w:szCs w:val="21"/>
        </w:rPr>
        <w:t>和</w:t>
      </w:r>
      <w:r w:rsidRPr="00B14FA3">
        <w:rPr>
          <w:rFonts w:eastAsia="宋体"/>
          <w:sz w:val="21"/>
          <w:szCs w:val="21"/>
        </w:rPr>
        <w:t>8402</w:t>
      </w:r>
      <w:r w:rsidRPr="00B14FA3">
        <w:rPr>
          <w:rFonts w:eastAsia="宋体"/>
          <w:sz w:val="21"/>
          <w:szCs w:val="21"/>
        </w:rPr>
        <w:t>。其参数增加主要来自尺度专家和门控，不涉及大型注意力矩阵。依据消融结果，无频域版本作为主要方法，频域版本作为敏感性分析对象。</w:t>
      </w:r>
    </w:p>
    <w:p w14:paraId="1A67CAD5"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1ADD1DC8"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Cs w:val="21"/>
          <w:sz w:val="21"/>
        </w:rPr>
        <w:t xml:space="preserve">2.1 数据集与实验设置</w:t>
      </w:r>
      <w:r w:rsidRPr="00B14FA3">
        <w:rPr>
          <w:rFonts w:ascii="Arial" w:eastAsia="黑体" w:hAnsi="Arial"/>
          <w:b/>
          <w:bCs/>
          <w:color w:val="000000"/>
          <w:szCs w:val="32"/>
        </w:rPr>
        <w:t/>
      </w:r>
    </w:p>
    <w:p w14:paraId="2FCC3150" w14:textId="77777777" w:rsidR="00B14FA3" w:rsidRPr="00B14FA3" w:rsidRDefault="00B14FA3" w:rsidP="00B14FA3">
      <w:r w:rsidRPr="00B14FA3">
        <w:rPr>
          <w:rFonts w:eastAsia="宋体"/>
          <w:color w:val="000000"/>
          <w:sz w:val="21"/>
          <w:szCs w:val="21"/>
        </w:rPr>
        <w:t>实验使用CESNET TS-Zoo公开的Abilene骨干网1 h聚合流量矩阵，从字段matrix_avg_realOD提取144维有效OD流量序列，共4656个时间点。按照时间顺序以6∶2∶2划分训练集、验证集和测试集，分别包含2793、931和932个时间点。在输入长度</w:t>
      </w:r>
      <w:r w:rsidRPr="00B14FA3">
        <w:rPr>
          <w:rFonts w:eastAsia="宋体"/>
          <w:color w:val="000000"/>
          <w:sz w:val="21"/>
          <w:szCs w:val="21"/>
          <w:i/>
          <w:iCs/>
        </w:rPr>
        <w:t>L</w:t>
      </w:r>
      <w:r w:rsidRPr="00B14FA3">
        <w:rPr>
          <w:rFonts w:eastAsia="宋体"/>
          <w:color w:val="000000"/>
          <w:sz w:val="21"/>
          <w:szCs w:val="21"/>
        </w:rPr>
        <w:t>=96、预测长度</w:t>
      </w:r>
      <w:r w:rsidRPr="00B14FA3">
        <w:rPr>
          <w:rFonts w:eastAsia="宋体"/>
          <w:color w:val="000000"/>
          <w:sz w:val="21"/>
          <w:szCs w:val="21"/>
          <w:i/>
          <w:iCs/>
        </w:rPr>
        <w:t>H</w:t>
      </w:r>
      <w:r w:rsidRPr="00B14FA3">
        <w:rPr>
          <w:rFonts w:eastAsia="宋体"/>
          <w:color w:val="000000"/>
          <w:sz w:val="21"/>
          <w:szCs w:val="21"/>
        </w:rPr>
        <w:t>=24的条件下，各集合分别形成2674、812和813个滑动窗口。数据预处理与第1.1节一致，先进行log(1+x)变换，再使用训练集统计量按变量标准化；各集合独立构造窗口，不跨越数据集边界。</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478C919E" w14:textId="77777777" w:rsidR="00B14FA3" w:rsidRPr="00B14FA3" w:rsidRDefault="00B14FA3" w:rsidP="00B14FA3">
      <w:r w:rsidRPr="00B14FA3">
        <w:rPr>
          <w:rFonts w:eastAsia="宋体"/>
          <w:color w:val="000000"/>
          <w:sz w:val="21"/>
          <w:szCs w:val="21"/>
        </w:rPr>
        <w:t>实验在Windows系统、NVIDIA GTX 1060 6 GB显卡和PyTorch 2.5.1+cu118环境下完成。模型采用Adam优化器，学习率为0.001，批量大小为16，最多训练30轮；当验证集均方误差连续6轮未改善时提前停止，并保留验证集均方误差最低的模型参数。每个配置分别使用随机种子42、43和44独立训练，共完成48次正式训练。</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097EDAED" w14:textId="77777777" w:rsidR="00B14FA3" w:rsidRPr="00B14FA3" w:rsidRDefault="00B14FA3" w:rsidP="00B14FA3">
      <w:r>
        <w:rPr>
          <w:rFonts w:ascii="Times New Roman" w:hAnsi="Times New Roman" w:eastAsia="宋体" w:cs="Times New Roman"/>
          <w:sz w:val="21"/>
          <w:szCs w:val="21"/>
        </w:rPr>
        <w:t>采用均方误差（mean squared error，MSE）、平均绝对误差（mean absolute error，MAE）和均方根误差（root mean squared error，RMSE）评价预测性能。设测试集包含</w:t>
      </w:r>
      <w:r>
        <w:rPr>
          <w:rFonts w:ascii="Times New Roman" w:hAnsi="Times New Roman" w:eastAsia="宋体" w:cs="Times New Roman"/>
          <w:sz w:val="21"/>
          <w:szCs w:val="21"/>
          <w:i/>
          <w:iCs/>
        </w:rPr>
        <w:t>N</w:t>
      </w:r>
      <w:r>
        <w:rPr>
          <w:rFonts w:ascii="Times New Roman" w:hAnsi="Times New Roman" w:eastAsia="宋体" w:cs="Times New Roman"/>
          <w:sz w:val="21"/>
          <w:szCs w:val="21"/>
          <w:vertAlign w:val="subscript"/>
        </w:rPr>
        <w:t>te</w:t>
      </w:r>
      <w:r>
        <w:rPr>
          <w:rFonts w:ascii="Times New Roman" w:hAnsi="Times New Roman" w:eastAsia="宋体" w:cs="Times New Roman"/>
          <w:sz w:val="21"/>
          <w:szCs w:val="21"/>
        </w:rPr>
        <w:t>个窗口，则MAE和RMSE分别为</w:t>
      </w:r>
    </w:p>
    <w:p w14:paraId="62A175B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(19)</w:t>
      </w:r>
    </w:p>
    <w:p w14:paraId="672DA91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(20)</w:t>
      </w:r>
    </w:p>
    <w:p w14:paraId="5DBDFA94" w14:textId="77777777" w:rsidR="00B14FA3" w:rsidRPr="00B14FA3" w:rsidRDefault="00B14FA3" w:rsidP="00B14FA3">
      <w:r>
        <w:rPr>
          <w:rFonts w:ascii="Times New Roman" w:hAnsi="Times New Roman" w:eastAsia="宋体" w:cs="Times New Roman"/>
          <w:sz w:val="21"/>
          <w:szCs w:val="21"/>
        </w:rPr>
        <w:t>上述指标均在标准化空间中计算，数值越小表示预测误差越低。由于RMSE是MSE的单调变换，正文表格主要报告MSE和MAE。各配置结果以3个随机种子的均值±样本标准差表示。固定权重与自适应权重使用相同随机种子进行双侧配对</w:t>
      </w:r>
      <w:r>
        <w:rPr>
          <w:rFonts w:ascii="Times New Roman" w:hAnsi="Times New Roman" w:eastAsia="宋体" w:cs="Times New Roman"/>
          <w:sz w:val="21"/>
          <w:szCs w:val="21"/>
          <w:i/>
          <w:iCs/>
        </w:rPr>
        <w:t>t</w:t>
      </w:r>
      <w:r>
        <w:rPr>
          <w:rFonts w:ascii="Times New Roman" w:hAnsi="Times New Roman" w:eastAsia="宋体" w:cs="Times New Roman"/>
          <w:sz w:val="21"/>
          <w:szCs w:val="21"/>
        </w:rPr>
        <w:t xml:space="preserve">检验，并报告配对差的95%置信区间（confidence interval，CI）及Cohen's </w:t>
      </w:r>
      <w:r>
        <w:rPr>
          <w:rFonts w:ascii="Times New Roman" w:hAnsi="Times New Roman" w:eastAsia="宋体" w:cs="Times New Roman"/>
          <w:sz w:val="21"/>
          <w:szCs w:val="21"/>
          <w:i/>
          <w:iCs/>
        </w:rPr>
        <w:t>d</w:t>
      </w:r>
      <w:r>
        <w:rPr>
          <w:rFonts w:ascii="Times New Roman" w:hAnsi="Times New Roman" w:eastAsia="宋体" w:cs="Times New Roman"/>
          <w:sz w:val="21"/>
          <w:szCs w:val="21"/>
          <w:vertAlign w:val="subscript"/>
        </w:rPr>
        <w:t>z</w:t>
      </w:r>
      <w:r>
        <w:rPr>
          <w:rFonts w:ascii="Times New Roman" w:hAnsi="Times New Roman" w:eastAsia="宋体" w:cs="Times New Roman"/>
          <w:sz w:val="21"/>
          <w:szCs w:val="21"/>
        </w:rPr>
        <w:t>；</w:t>
      </w:r>
      <w:r>
        <w:rPr>
          <w:rFonts w:ascii="Times New Roman" w:hAnsi="Times New Roman" w:eastAsia="宋体" w:cs="Times New Roman"/>
          <w:sz w:val="21"/>
          <w:szCs w:val="21"/>
          <w:i/>
          <w:iCs/>
        </w:rPr>
        <w:t>r</w:t>
      </w:r>
      <w:r>
        <w:rPr>
          <w:rFonts w:ascii="Times New Roman" w:hAnsi="Times New Roman" w:eastAsia="宋体" w:cs="Times New Roman"/>
          <w:sz w:val="21"/>
          <w:szCs w:val="21"/>
        </w:rPr>
        <w:t>=0.50下的两项预设比较采用Holm法校正。鉴于独立重复数仅为3，统计检验仅作为误差均值和离散程度的补充，不将813个测试窗口视为独立重复。</w:t>
      </w:r>
    </w:p>
    <w:p w14:paraId="5C42E451"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Cs w:val="21"/>
          <w:sz w:val="21"/>
        </w:rPr>
        <w:t xml:space="preserve">2.2 基础模型对比与组件分析</w:t>
      </w:r>
      <w:r w:rsidRPr="00B14FA3">
        <w:rPr>
          <w:rFonts w:ascii="Arial" w:eastAsia="黑体" w:hAnsi="Arial"/>
          <w:b/>
          <w:bCs/>
          <w:color w:val="000000"/>
          <w:szCs w:val="32"/>
        </w:rPr>
        <w:t/>
      </w:r>
    </w:p>
    <w:p w14:paraId="0D3DEE7E" w14:textId="77777777" w:rsidR="00B14FA3" w:rsidRPr="00B14FA3" w:rsidRDefault="00B14FA3" w:rsidP="00B14FA3">
      <w:r w:rsidRPr="00B14FA3">
        <w:t>表1给出不同基础模型及组件组合的预测结果。所有模型采用相同的数据划分、输入输出长度、预处理方式和早停策略。DLinear+自适应多尺度取得最低平均误差，MSE和MAE分别为0.186099和0.168203；与单尺度DLinear相比，MSE降低4.06%，MAE降低10.52%。说明在当前Abilene任务中，不同时间分辨率的尺度专家与样本级自适应融合能够形成互补预测，并有效降低整体误差。各模型在3个随机种子下的结果分布及均值见图2。</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p>
    <w:p w14:paraId="1BF2FCF1" w14:textId="77777777" w:rsidR="00B14FA3" w:rsidRPr="00B14FA3" w:rsidRDefault="00B14FA3" w:rsidP="00B14FA3">
      <w:pPr>
        <w:keepNext/>
        <w:spacing w:before="60" w:after="40"/>
        <w:ind w:firstLine="0"/>
        <w:jc w:val="center"/>
      </w:pPr>
      <w:r w:rsidRPr="00B14FA3">
        <w:rPr>
          <w:rFonts w:eastAsia="黑体"/>
          <w:b/>
          <w:color w:val="000000"/>
          <w:sz w:val="18"/>
        </w:rPr>
        <w:lastRenderedPageBreak/>
        <w:t>表</w:t>
      </w:r>
      <w:r w:rsidRPr="00B14FA3">
        <w:rPr>
          <w:rFonts w:eastAsia="黑体"/>
          <w:b/>
          <w:color w:val="000000"/>
          <w:sz w:val="18"/>
        </w:rPr>
        <w:t xml:space="preserve">1 </w:t>
      </w:r>
      <w:r w:rsidRPr="00B14FA3">
        <w:rPr>
          <w:rFonts w:eastAsia="黑体"/>
          <w:b/>
          <w:color w:val="000000"/>
          <w:sz w:val="18"/>
        </w:rPr>
        <w:t>基础模型消融结果</w:t>
      </w:r>
    </w:p>
    <w:tbl>
      <w:tblPr>
        <w:tblW w:w="0" w:type="auto"/>
        <w:jc w:val="center"/>
        <w:tblBorders>
          <w:insideH w:val="nil"/>
          <w:insideV w:val="nil"/>
        </w:tblBorders>
        <w:tblLayout w:type="fixed"/>
        <w:tblLook w:val="04A0" w:firstRow="1" w:lastRow="0" w:firstColumn="1" w:lastColumn="0" w:noHBand="0" w:noVBand="1"/>
      </w:tblPr>
      <w:tblGrid>
        <w:gridCol w:w="3456"/>
        <w:gridCol w:w="1152"/>
        <w:gridCol w:w="2448"/>
        <w:gridCol w:w="2448"/>
      </w:tblGrid>
      <w:tr w:rsidR="00B14FA3" w:rsidRPr="00B14FA3" w14:paraId="1AD47421" w14:textId="77777777">
        <w:trPr>
          <w:cantSplit/>
          <w:tblHeader/>
          <w:jc w:val="center"/>
        </w:trPr>
        <w:tc>
          <w:tcPr>
            <w:tcW w:w="3456"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53DE609F" w14:textId="77777777" w:rsidR="00B14FA3" w:rsidRPr="00B14FA3" w:rsidRDefault="00B14FA3" w:rsidP="00B14FA3">
            <w:pPr>
              <w:keepNext/>
              <w:ind w:firstLine="0"/>
              <w:jc w:val="center"/>
            </w:pPr>
            <w:r w:rsidRPr="00B14FA3">
              <w:rPr>
                <w:rFonts w:eastAsia="宋体"/>
                <w:b/>
                <w:color w:val="000000"/>
                <w:sz w:val="21"/>
                <w:szCs w:val="21"/>
              </w:rPr>
              <w:t>模型</w:t>
            </w:r>
          </w:p>
        </w:tc>
        <w:tc>
          <w:tcPr>
            <w:tcW w:w="1152"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152DA103" w14:textId="77777777" w:rsidR="00B14FA3" w:rsidRPr="00B14FA3" w:rsidRDefault="00B14FA3" w:rsidP="00B14FA3">
            <w:pPr>
              <w:keepNext/>
              <w:ind w:firstLine="0"/>
              <w:jc w:val="center"/>
            </w:pPr>
            <w:r w:rsidRPr="00B14FA3">
              <w:rPr>
                <w:rFonts w:eastAsia="宋体"/>
                <w:b/>
                <w:color w:val="000000"/>
                <w:sz w:val="21"/>
                <w:szCs w:val="21"/>
              </w:rPr>
              <w:t>参数量</w:t>
            </w:r>
          </w:p>
        </w:tc>
        <w:tc>
          <w:tcPr>
            <w:tcW w:w="2448"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12869D20" w14:textId="77777777" w:rsidR="00B14FA3" w:rsidRPr="00B14FA3" w:rsidRDefault="00B14FA3" w:rsidP="00B14FA3">
            <w:pPr>
              <w:keepNext/>
              <w:ind w:firstLine="0"/>
              <w:jc w:val="center"/>
            </w:pPr>
            <w:r w:rsidRPr="00B14FA3">
              <w:rPr>
                <w:rFonts w:eastAsia="宋体"/>
                <w:b/>
                <w:color w:val="000000"/>
                <w:sz w:val="21"/>
                <w:szCs w:val="21"/>
              </w:rPr>
              <w:t>MSE</w:t>
            </w:r>
          </w:p>
        </w:tc>
        <w:tc>
          <w:tcPr>
            <w:tcW w:w="2448"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51468E78" w14:textId="77777777" w:rsidR="00B14FA3" w:rsidRPr="00B14FA3" w:rsidRDefault="00B14FA3" w:rsidP="00B14FA3">
            <w:pPr>
              <w:keepNext/>
              <w:ind w:firstLine="0"/>
              <w:jc w:val="center"/>
            </w:pPr>
            <w:r w:rsidRPr="00B14FA3">
              <w:rPr>
                <w:rFonts w:eastAsia="宋体"/>
                <w:b/>
                <w:color w:val="000000"/>
                <w:sz w:val="21"/>
                <w:szCs w:val="21"/>
              </w:rPr>
              <w:t>MAE</w:t>
            </w:r>
          </w:p>
        </w:tc>
      </w:tr>
      <w:tr w:rsidR="00B14FA3" w:rsidRPr="00B14FA3" w14:paraId="35B13FEA"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6377C3FE" w14:textId="77777777" w:rsidR="00B14FA3" w:rsidRPr="00B14FA3" w:rsidRDefault="00B14FA3" w:rsidP="00B14FA3">
            <w:pPr>
              <w:keepNext/>
              <w:ind w:firstLine="0"/>
              <w:jc w:val="left"/>
            </w:pPr>
            <w:r w:rsidRPr="00B14FA3">
              <w:rPr>
                <w:rFonts w:eastAsia="宋体"/>
                <w:color w:val="000000"/>
                <w:sz w:val="21"/>
                <w:szCs w:val="21"/>
              </w:rPr>
              <w:t>DLinear</w:t>
            </w:r>
          </w:p>
        </w:tc>
        <w:tc>
          <w:tcPr>
            <w:tcW w:w="1152" w:type="dxa"/>
            <w:tcBorders>
              <w:top w:val="nil"/>
              <w:left w:val="nil"/>
              <w:bottom w:val="nil"/>
              <w:right w:val="nil"/>
            </w:tcBorders>
            <w:tcMar>
              <w:top w:w="55" w:type="dxa"/>
              <w:left w:w="70" w:type="dxa"/>
              <w:bottom w:w="55" w:type="dxa"/>
              <w:right w:w="70" w:type="dxa"/>
            </w:tcMar>
            <w:vAlign w:val="center"/>
            <w:hideMark/>
          </w:tcPr>
          <w:p w14:paraId="04A6D559" w14:textId="77777777" w:rsidR="00B14FA3" w:rsidRPr="00B14FA3" w:rsidRDefault="00B14FA3" w:rsidP="00B14FA3">
            <w:pPr>
              <w:keepNext/>
              <w:ind w:firstLine="0"/>
              <w:jc w:val="center"/>
            </w:pPr>
            <w:r w:rsidRPr="00B14FA3">
              <w:rPr>
                <w:rFonts w:eastAsia="宋体"/>
                <w:color w:val="000000"/>
                <w:sz w:val="21"/>
                <w:szCs w:val="21"/>
              </w:rPr>
              <w:t>4656</w:t>
            </w:r>
          </w:p>
        </w:tc>
        <w:tc>
          <w:tcPr>
            <w:tcW w:w="2448" w:type="dxa"/>
            <w:tcBorders>
              <w:top w:val="nil"/>
              <w:left w:val="nil"/>
              <w:bottom w:val="nil"/>
              <w:right w:val="nil"/>
            </w:tcBorders>
            <w:tcMar>
              <w:top w:w="55" w:type="dxa"/>
              <w:left w:w="70" w:type="dxa"/>
              <w:bottom w:w="55" w:type="dxa"/>
              <w:right w:w="70" w:type="dxa"/>
            </w:tcMar>
            <w:vAlign w:val="center"/>
            <w:hideMark/>
          </w:tcPr>
          <w:p w14:paraId="0F53644B" w14:textId="77777777" w:rsidR="00B14FA3" w:rsidRPr="00B14FA3" w:rsidRDefault="00B14FA3" w:rsidP="00B14FA3">
            <w:pPr>
              <w:keepNext/>
              <w:ind w:firstLine="0"/>
              <w:jc w:val="center"/>
            </w:pPr>
            <w:r w:rsidRPr="00B14FA3">
              <w:rPr>
                <w:rFonts w:eastAsia="宋体"/>
                <w:color w:val="000000"/>
                <w:sz w:val="21"/>
                <w:szCs w:val="21"/>
              </w:rPr>
              <w:t>0.193983±0.001567</w:t>
            </w:r>
          </w:p>
        </w:tc>
        <w:tc>
          <w:tcPr>
            <w:tcW w:w="2448" w:type="dxa"/>
            <w:tcBorders>
              <w:top w:val="nil"/>
              <w:left w:val="nil"/>
              <w:bottom w:val="nil"/>
              <w:right w:val="nil"/>
            </w:tcBorders>
            <w:tcMar>
              <w:top w:w="55" w:type="dxa"/>
              <w:left w:w="70" w:type="dxa"/>
              <w:bottom w:w="55" w:type="dxa"/>
              <w:right w:w="70" w:type="dxa"/>
            </w:tcMar>
            <w:vAlign w:val="center"/>
            <w:hideMark/>
          </w:tcPr>
          <w:p w14:paraId="0D3B4420" w14:textId="77777777" w:rsidR="00B14FA3" w:rsidRPr="00B14FA3" w:rsidRDefault="00B14FA3" w:rsidP="00B14FA3">
            <w:pPr>
              <w:keepNext/>
              <w:ind w:firstLine="0"/>
              <w:jc w:val="center"/>
            </w:pPr>
            <w:r w:rsidRPr="00B14FA3">
              <w:rPr>
                <w:rFonts w:eastAsia="宋体"/>
                <w:color w:val="000000"/>
                <w:sz w:val="21"/>
                <w:szCs w:val="21"/>
              </w:rPr>
              <w:t>0.187988±0.009422</w:t>
            </w:r>
          </w:p>
        </w:tc>
      </w:tr>
      <w:tr w:rsidR="00B14FA3" w:rsidRPr="00B14FA3" w14:paraId="65EA0D13"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6BEDC800" w14:textId="77777777" w:rsidR="00B14FA3" w:rsidRPr="00B14FA3" w:rsidRDefault="00B14FA3" w:rsidP="00B14FA3">
            <w:pPr>
              <w:keepNext/>
              <w:ind w:firstLine="0"/>
              <w:jc w:val="left"/>
            </w:pPr>
            <w:r w:rsidRPr="00B14FA3">
              <w:rPr>
                <w:rFonts w:eastAsia="宋体"/>
                <w:color w:val="000000"/>
                <w:sz w:val="21"/>
                <w:szCs w:val="21"/>
              </w:rPr>
              <w:t>FITS</w:t>
            </w:r>
          </w:p>
        </w:tc>
        <w:tc>
          <w:tcPr>
            <w:tcW w:w="1152" w:type="dxa"/>
            <w:tcBorders>
              <w:top w:val="nil"/>
              <w:left w:val="nil"/>
              <w:bottom w:val="nil"/>
              <w:right w:val="nil"/>
            </w:tcBorders>
            <w:tcMar>
              <w:top w:w="55" w:type="dxa"/>
              <w:left w:w="70" w:type="dxa"/>
              <w:bottom w:w="55" w:type="dxa"/>
              <w:right w:w="70" w:type="dxa"/>
            </w:tcMar>
            <w:vAlign w:val="center"/>
            <w:hideMark/>
          </w:tcPr>
          <w:p w14:paraId="1C1E9998" w14:textId="77777777" w:rsidR="00B14FA3" w:rsidRPr="00B14FA3" w:rsidRDefault="00B14FA3" w:rsidP="00B14FA3">
            <w:pPr>
              <w:keepNext/>
              <w:ind w:firstLine="0"/>
              <w:jc w:val="center"/>
            </w:pPr>
            <w:r w:rsidRPr="00B14FA3">
              <w:rPr>
                <w:rFonts w:eastAsia="宋体"/>
                <w:color w:val="000000"/>
                <w:sz w:val="21"/>
                <w:szCs w:val="21"/>
              </w:rPr>
              <w:t>750</w:t>
            </w:r>
          </w:p>
        </w:tc>
        <w:tc>
          <w:tcPr>
            <w:tcW w:w="2448" w:type="dxa"/>
            <w:tcBorders>
              <w:top w:val="nil"/>
              <w:left w:val="nil"/>
              <w:bottom w:val="nil"/>
              <w:right w:val="nil"/>
            </w:tcBorders>
            <w:tcMar>
              <w:top w:w="55" w:type="dxa"/>
              <w:left w:w="70" w:type="dxa"/>
              <w:bottom w:w="55" w:type="dxa"/>
              <w:right w:w="70" w:type="dxa"/>
            </w:tcMar>
            <w:vAlign w:val="center"/>
            <w:hideMark/>
          </w:tcPr>
          <w:p w14:paraId="5CF71DC8" w14:textId="77777777" w:rsidR="00B14FA3" w:rsidRPr="00B14FA3" w:rsidRDefault="00B14FA3" w:rsidP="00B14FA3">
            <w:pPr>
              <w:keepNext/>
              <w:ind w:firstLine="0"/>
              <w:jc w:val="center"/>
            </w:pPr>
            <w:r w:rsidRPr="00B14FA3">
              <w:rPr>
                <w:rFonts w:eastAsia="宋体"/>
                <w:color w:val="000000"/>
                <w:sz w:val="21"/>
                <w:szCs w:val="21"/>
              </w:rPr>
              <w:t>0.202230±0.001972</w:t>
            </w:r>
          </w:p>
        </w:tc>
        <w:tc>
          <w:tcPr>
            <w:tcW w:w="2448" w:type="dxa"/>
            <w:tcBorders>
              <w:top w:val="nil"/>
              <w:left w:val="nil"/>
              <w:bottom w:val="nil"/>
              <w:right w:val="nil"/>
            </w:tcBorders>
            <w:tcMar>
              <w:top w:w="55" w:type="dxa"/>
              <w:left w:w="70" w:type="dxa"/>
              <w:bottom w:w="55" w:type="dxa"/>
              <w:right w:w="70" w:type="dxa"/>
            </w:tcMar>
            <w:vAlign w:val="center"/>
            <w:hideMark/>
          </w:tcPr>
          <w:p w14:paraId="0F3E5907" w14:textId="77777777" w:rsidR="00B14FA3" w:rsidRPr="00B14FA3" w:rsidRDefault="00B14FA3" w:rsidP="00B14FA3">
            <w:pPr>
              <w:keepNext/>
              <w:ind w:firstLine="0"/>
              <w:jc w:val="center"/>
            </w:pPr>
            <w:r w:rsidRPr="00B14FA3">
              <w:rPr>
                <w:rFonts w:eastAsia="宋体"/>
                <w:color w:val="000000"/>
                <w:sz w:val="21"/>
                <w:szCs w:val="21"/>
              </w:rPr>
              <w:t>0.198299±0.003818</w:t>
            </w:r>
          </w:p>
        </w:tc>
      </w:tr>
      <w:tr w:rsidR="00B14FA3" w:rsidRPr="00B14FA3" w14:paraId="328F628D"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5F048032" w14:textId="77777777" w:rsidR="00B14FA3" w:rsidRPr="00B14FA3" w:rsidRDefault="00B14FA3" w:rsidP="00B14FA3">
            <w:pPr>
              <w:keepNext/>
              <w:ind w:firstLine="0"/>
              <w:jc w:val="left"/>
            </w:pPr>
            <w:r w:rsidRPr="00B14FA3">
              <w:rPr>
                <w:rFonts w:eastAsia="宋体"/>
                <w:color w:val="000000"/>
                <w:sz w:val="21"/>
                <w:szCs w:val="21"/>
              </w:rPr>
              <w:t>DLinear+</w:t>
            </w:r>
            <w:r w:rsidRPr="00B14FA3">
              <w:rPr>
                <w:rFonts w:eastAsia="宋体"/>
                <w:color w:val="000000"/>
                <w:sz w:val="21"/>
                <w:szCs w:val="21"/>
              </w:rPr>
              <w:t>频域门控（</w:t>
            </w:r>
            <w:r>
              <w:rPr>
                <w:rFonts w:ascii="Times New Roman" w:hAnsi="Times New Roman" w:eastAsia="宋体" w:cs="Times New Roman"/>
                <w:sz w:val="21"/>
                <w:szCs w:val="21"/>
                <w:i/>
                <w:iCs/>
              </w:rPr>
              <w:t>r</w:t>
            </w:r>
            <w:r>
              <w:rPr>
                <w:rFonts w:ascii="Times New Roman" w:hAnsi="Times New Roman" w:eastAsia="宋体" w:cs="Times New Roman"/>
                <w:sz w:val="21"/>
                <w:szCs w:val="21"/>
              </w:rPr>
              <w:t>=0.50</w:t>
            </w:r>
            <w:r w:rsidRPr="00B14FA3">
              <w:rPr>
                <w:rFonts w:eastAsia="宋体"/>
                <w:color w:val="000000"/>
                <w:sz w:val="21"/>
                <w:szCs w:val="21"/>
              </w:rPr>
              <w:t>）</w:t>
            </w:r>
          </w:p>
        </w:tc>
        <w:tc>
          <w:tcPr>
            <w:tcW w:w="1152" w:type="dxa"/>
            <w:tcBorders>
              <w:top w:val="nil"/>
              <w:left w:val="nil"/>
              <w:bottom w:val="nil"/>
              <w:right w:val="nil"/>
            </w:tcBorders>
            <w:tcMar>
              <w:top w:w="55" w:type="dxa"/>
              <w:left w:w="70" w:type="dxa"/>
              <w:bottom w:w="55" w:type="dxa"/>
              <w:right w:w="70" w:type="dxa"/>
            </w:tcMar>
            <w:vAlign w:val="center"/>
            <w:hideMark/>
          </w:tcPr>
          <w:p w14:paraId="4AB6E664" w14:textId="77777777" w:rsidR="00B14FA3" w:rsidRPr="00B14FA3" w:rsidRDefault="00B14FA3" w:rsidP="00B14FA3">
            <w:pPr>
              <w:keepNext/>
              <w:ind w:firstLine="0"/>
              <w:jc w:val="center"/>
            </w:pPr>
            <w:r w:rsidRPr="00B14FA3">
              <w:rPr>
                <w:rFonts w:eastAsia="宋体"/>
                <w:color w:val="000000"/>
                <w:sz w:val="21"/>
                <w:szCs w:val="21"/>
              </w:rPr>
              <w:t>4680</w:t>
            </w:r>
          </w:p>
        </w:tc>
        <w:tc>
          <w:tcPr>
            <w:tcW w:w="2448" w:type="dxa"/>
            <w:tcBorders>
              <w:top w:val="nil"/>
              <w:left w:val="nil"/>
              <w:bottom w:val="nil"/>
              <w:right w:val="nil"/>
            </w:tcBorders>
            <w:tcMar>
              <w:top w:w="55" w:type="dxa"/>
              <w:left w:w="70" w:type="dxa"/>
              <w:bottom w:w="55" w:type="dxa"/>
              <w:right w:w="70" w:type="dxa"/>
            </w:tcMar>
            <w:vAlign w:val="center"/>
            <w:hideMark/>
          </w:tcPr>
          <w:p w14:paraId="65B15734" w14:textId="77777777" w:rsidR="00B14FA3" w:rsidRPr="00B14FA3" w:rsidRDefault="00B14FA3" w:rsidP="00B14FA3">
            <w:pPr>
              <w:keepNext/>
              <w:ind w:firstLine="0"/>
              <w:jc w:val="center"/>
            </w:pPr>
            <w:r w:rsidRPr="00B14FA3">
              <w:rPr>
                <w:rFonts w:eastAsia="宋体"/>
                <w:color w:val="000000"/>
                <w:sz w:val="21"/>
                <w:szCs w:val="21"/>
              </w:rPr>
              <w:t>0.197181±0.000655</w:t>
            </w:r>
          </w:p>
        </w:tc>
        <w:tc>
          <w:tcPr>
            <w:tcW w:w="2448" w:type="dxa"/>
            <w:tcBorders>
              <w:top w:val="nil"/>
              <w:left w:val="nil"/>
              <w:bottom w:val="nil"/>
              <w:right w:val="nil"/>
            </w:tcBorders>
            <w:tcMar>
              <w:top w:w="55" w:type="dxa"/>
              <w:left w:w="70" w:type="dxa"/>
              <w:bottom w:w="55" w:type="dxa"/>
              <w:right w:w="70" w:type="dxa"/>
            </w:tcMar>
            <w:vAlign w:val="center"/>
            <w:hideMark/>
          </w:tcPr>
          <w:p w14:paraId="5F6B4DAA" w14:textId="77777777" w:rsidR="00B14FA3" w:rsidRPr="00B14FA3" w:rsidRDefault="00B14FA3" w:rsidP="00B14FA3">
            <w:pPr>
              <w:keepNext/>
              <w:ind w:firstLine="0"/>
              <w:jc w:val="center"/>
            </w:pPr>
            <w:r w:rsidRPr="00B14FA3">
              <w:rPr>
                <w:rFonts w:eastAsia="宋体"/>
                <w:color w:val="000000"/>
                <w:sz w:val="21"/>
                <w:szCs w:val="21"/>
              </w:rPr>
              <w:t>0.191756±0.007712</w:t>
            </w:r>
          </w:p>
        </w:tc>
      </w:tr>
      <w:tr w:rsidR="00B14FA3" w:rsidRPr="00B14FA3" w14:paraId="2E4ECE3D"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41C4955D" w14:textId="77777777" w:rsidR="00B14FA3" w:rsidRPr="00B14FA3" w:rsidRDefault="00B14FA3" w:rsidP="00B14FA3">
            <w:pPr>
              <w:keepNext/>
              <w:ind w:firstLine="0"/>
              <w:jc w:val="left"/>
            </w:pPr>
            <w:r w:rsidRPr="00B14FA3">
              <w:rPr>
                <w:rFonts w:eastAsia="宋体"/>
                <w:color w:val="000000"/>
                <w:sz w:val="21"/>
                <w:szCs w:val="21"/>
              </w:rPr>
              <w:t>DLinear+</w:t>
            </w:r>
            <w:r w:rsidRPr="00B14FA3">
              <w:rPr>
                <w:rFonts w:eastAsia="宋体"/>
                <w:color w:val="000000"/>
                <w:sz w:val="21"/>
                <w:szCs w:val="21"/>
              </w:rPr>
              <w:t>自适应多尺度</w:t>
            </w:r>
          </w:p>
        </w:tc>
        <w:tc>
          <w:tcPr>
            <w:tcW w:w="1152" w:type="dxa"/>
            <w:tcBorders>
              <w:top w:val="nil"/>
              <w:left w:val="nil"/>
              <w:bottom w:val="nil"/>
              <w:right w:val="nil"/>
            </w:tcBorders>
            <w:tcMar>
              <w:top w:w="55" w:type="dxa"/>
              <w:left w:w="70" w:type="dxa"/>
              <w:bottom w:w="55" w:type="dxa"/>
              <w:right w:w="70" w:type="dxa"/>
            </w:tcMar>
            <w:vAlign w:val="center"/>
            <w:hideMark/>
          </w:tcPr>
          <w:p w14:paraId="2DA2D7F8" w14:textId="77777777" w:rsidR="00B14FA3" w:rsidRPr="00B14FA3" w:rsidRDefault="00B14FA3" w:rsidP="00B14FA3">
            <w:pPr>
              <w:keepNext/>
              <w:ind w:firstLine="0"/>
              <w:jc w:val="center"/>
            </w:pPr>
            <w:r w:rsidRPr="00B14FA3">
              <w:rPr>
                <w:rFonts w:eastAsia="宋体"/>
                <w:color w:val="000000"/>
                <w:sz w:val="21"/>
                <w:szCs w:val="21"/>
              </w:rPr>
              <w:t>8339</w:t>
            </w:r>
          </w:p>
        </w:tc>
        <w:tc>
          <w:tcPr>
            <w:tcW w:w="2448" w:type="dxa"/>
            <w:tcBorders>
              <w:top w:val="nil"/>
              <w:left w:val="nil"/>
              <w:bottom w:val="nil"/>
              <w:right w:val="nil"/>
            </w:tcBorders>
            <w:tcMar>
              <w:top w:w="55" w:type="dxa"/>
              <w:left w:w="70" w:type="dxa"/>
              <w:bottom w:w="55" w:type="dxa"/>
              <w:right w:w="70" w:type="dxa"/>
            </w:tcMar>
            <w:vAlign w:val="center"/>
            <w:hideMark/>
          </w:tcPr>
          <w:p w14:paraId="5B440DFF" w14:textId="77777777" w:rsidR="00B14FA3" w:rsidRPr="00B14FA3" w:rsidRDefault="00B14FA3" w:rsidP="00B14FA3">
            <w:pPr>
              <w:keepNext/>
              <w:ind w:firstLine="0"/>
              <w:jc w:val="center"/>
            </w:pPr>
            <w:r w:rsidRPr="00B14FA3">
              <w:rPr>
                <w:rFonts w:eastAsia="宋体"/>
                <w:color w:val="000000"/>
                <w:sz w:val="21"/>
                <w:szCs w:val="21"/>
              </w:rPr>
              <w:t>0.186099±0.001996</w:t>
            </w:r>
          </w:p>
        </w:tc>
        <w:tc>
          <w:tcPr>
            <w:tcW w:w="2448" w:type="dxa"/>
            <w:tcBorders>
              <w:top w:val="nil"/>
              <w:left w:val="nil"/>
              <w:bottom w:val="nil"/>
              <w:right w:val="nil"/>
            </w:tcBorders>
            <w:tcMar>
              <w:top w:w="55" w:type="dxa"/>
              <w:left w:w="70" w:type="dxa"/>
              <w:bottom w:w="55" w:type="dxa"/>
              <w:right w:w="70" w:type="dxa"/>
            </w:tcMar>
            <w:vAlign w:val="center"/>
            <w:hideMark/>
          </w:tcPr>
          <w:p w14:paraId="5CD9E5B9" w14:textId="77777777" w:rsidR="00B14FA3" w:rsidRPr="00B14FA3" w:rsidRDefault="00B14FA3" w:rsidP="00B14FA3">
            <w:pPr>
              <w:keepNext/>
              <w:ind w:firstLine="0"/>
              <w:jc w:val="center"/>
            </w:pPr>
            <w:r w:rsidRPr="00B14FA3">
              <w:rPr>
                <w:rFonts w:eastAsia="宋体"/>
                <w:color w:val="000000"/>
                <w:sz w:val="21"/>
                <w:szCs w:val="21"/>
              </w:rPr>
              <w:t>0.168203±0.000583</w:t>
            </w:r>
          </w:p>
        </w:tc>
      </w:tr>
      <w:tr w:rsidR="00B14FA3" w:rsidRPr="00B14FA3" w14:paraId="56BBCF64" w14:textId="77777777">
        <w:trPr>
          <w:cantSplit/>
          <w:jc w:val="center"/>
        </w:trPr>
        <w:tc>
          <w:tcPr>
            <w:tcW w:w="3456" w:type="dxa"/>
            <w:tcBorders>
              <w:top w:val="nil"/>
              <w:left w:val="nil"/>
              <w:bottom w:val="single" w:sz="12" w:space="0" w:color="000000"/>
              <w:right w:val="nil"/>
            </w:tcBorders>
            <w:tcMar>
              <w:top w:w="55" w:type="dxa"/>
              <w:left w:w="70" w:type="dxa"/>
              <w:bottom w:w="55" w:type="dxa"/>
              <w:right w:w="70" w:type="dxa"/>
            </w:tcMar>
            <w:vAlign w:val="center"/>
            <w:hideMark/>
          </w:tcPr>
          <w:p w14:paraId="204AC072" w14:textId="77777777" w:rsidR="00B14FA3" w:rsidRPr="00B14FA3" w:rsidRDefault="00B14FA3" w:rsidP="00B14FA3">
            <w:pPr>
              <w:ind w:firstLine="0"/>
              <w:jc w:val="left"/>
            </w:pPr>
            <w:r w:rsidRPr="00B14FA3">
              <w:rPr>
                <w:rFonts w:eastAsia="宋体"/>
                <w:color w:val="000000"/>
                <w:sz w:val="21"/>
                <w:szCs w:val="21"/>
              </w:rPr>
              <w:t>频域门控</w:t>
            </w:r>
            <w:r w:rsidRPr="00B14FA3">
              <w:rPr>
                <w:rFonts w:eastAsia="宋体"/>
                <w:color w:val="000000"/>
                <w:sz w:val="21"/>
                <w:szCs w:val="21"/>
              </w:rPr>
              <w:t>+</w:t>
            </w:r>
            <w:r w:rsidRPr="00B14FA3">
              <w:rPr>
                <w:rFonts w:eastAsia="宋体"/>
                <w:color w:val="000000"/>
                <w:sz w:val="21"/>
                <w:szCs w:val="21"/>
              </w:rPr>
              <w:t>自适应多尺度（</w:t>
            </w:r>
            <w:r>
              <w:rPr>
                <w:rFonts w:ascii="Times New Roman" w:hAnsi="Times New Roman" w:eastAsia="宋体" w:cs="Times New Roman"/>
                <w:sz w:val="21"/>
                <w:szCs w:val="21"/>
                <w:i/>
                <w:iCs/>
              </w:rPr>
              <w:t>r</w:t>
            </w:r>
            <w:r>
              <w:rPr>
                <w:rFonts w:ascii="Times New Roman" w:hAnsi="Times New Roman" w:eastAsia="宋体" w:cs="Times New Roman"/>
                <w:sz w:val="21"/>
                <w:szCs w:val="21"/>
              </w:rPr>
              <w:t>=0.50</w:t>
            </w:r>
            <w:r w:rsidRPr="00B14FA3">
              <w:rPr>
                <w:rFonts w:eastAsia="宋体"/>
                <w:color w:val="000000"/>
                <w:sz w:val="21"/>
                <w:szCs w:val="21"/>
              </w:rPr>
              <w:t>）</w:t>
            </w:r>
          </w:p>
        </w:tc>
        <w:tc>
          <w:tcPr>
            <w:tcW w:w="1152" w:type="dxa"/>
            <w:tcBorders>
              <w:top w:val="nil"/>
              <w:left w:val="nil"/>
              <w:bottom w:val="single" w:sz="12" w:space="0" w:color="000000"/>
              <w:right w:val="nil"/>
            </w:tcBorders>
            <w:tcMar>
              <w:top w:w="55" w:type="dxa"/>
              <w:left w:w="70" w:type="dxa"/>
              <w:bottom w:w="55" w:type="dxa"/>
              <w:right w:w="70" w:type="dxa"/>
            </w:tcMar>
            <w:vAlign w:val="center"/>
            <w:hideMark/>
          </w:tcPr>
          <w:p w14:paraId="6EC5976C" w14:textId="77777777" w:rsidR="00B14FA3" w:rsidRPr="00B14FA3" w:rsidRDefault="00B14FA3" w:rsidP="00B14FA3">
            <w:pPr>
              <w:ind w:firstLine="0"/>
              <w:jc w:val="center"/>
            </w:pPr>
            <w:r w:rsidRPr="00B14FA3">
              <w:rPr>
                <w:rFonts w:eastAsia="宋体"/>
                <w:color w:val="000000"/>
                <w:sz w:val="21"/>
                <w:szCs w:val="21"/>
              </w:rPr>
              <w:t>8381</w:t>
            </w:r>
          </w:p>
        </w:tc>
        <w:tc>
          <w:tcPr>
            <w:tcW w:w="2448" w:type="dxa"/>
            <w:tcBorders>
              <w:top w:val="nil"/>
              <w:left w:val="nil"/>
              <w:bottom w:val="single" w:sz="12" w:space="0" w:color="000000"/>
              <w:right w:val="nil"/>
            </w:tcBorders>
            <w:tcMar>
              <w:top w:w="55" w:type="dxa"/>
              <w:left w:w="70" w:type="dxa"/>
              <w:bottom w:w="55" w:type="dxa"/>
              <w:right w:w="70" w:type="dxa"/>
            </w:tcMar>
            <w:vAlign w:val="center"/>
            <w:hideMark/>
          </w:tcPr>
          <w:p w14:paraId="2D4F0B6A" w14:textId="77777777" w:rsidR="00B14FA3" w:rsidRPr="00B14FA3" w:rsidRDefault="00B14FA3" w:rsidP="00B14FA3">
            <w:pPr>
              <w:ind w:firstLine="0"/>
              <w:jc w:val="center"/>
            </w:pPr>
            <w:r w:rsidRPr="00B14FA3">
              <w:rPr>
                <w:rFonts w:eastAsia="宋体"/>
                <w:color w:val="000000"/>
                <w:sz w:val="21"/>
                <w:szCs w:val="21"/>
              </w:rPr>
              <w:t>0.192432±0.005766</w:t>
            </w:r>
          </w:p>
        </w:tc>
        <w:tc>
          <w:tcPr>
            <w:tcW w:w="2448" w:type="dxa"/>
            <w:tcBorders>
              <w:top w:val="nil"/>
              <w:left w:val="nil"/>
              <w:bottom w:val="single" w:sz="12" w:space="0" w:color="000000"/>
              <w:right w:val="nil"/>
            </w:tcBorders>
            <w:tcMar>
              <w:top w:w="55" w:type="dxa"/>
              <w:left w:w="70" w:type="dxa"/>
              <w:bottom w:w="55" w:type="dxa"/>
              <w:right w:w="70" w:type="dxa"/>
            </w:tcMar>
            <w:vAlign w:val="center"/>
            <w:hideMark/>
          </w:tcPr>
          <w:p w14:paraId="4C759AAD" w14:textId="77777777" w:rsidR="00B14FA3" w:rsidRPr="00B14FA3" w:rsidRDefault="00B14FA3" w:rsidP="00B14FA3">
            <w:pPr>
              <w:ind w:firstLine="0"/>
              <w:jc w:val="center"/>
            </w:pPr>
            <w:r w:rsidRPr="00B14FA3">
              <w:rPr>
                <w:rFonts w:eastAsia="宋体"/>
                <w:color w:val="000000"/>
                <w:sz w:val="21"/>
                <w:szCs w:val="21"/>
              </w:rPr>
              <w:t>0.173438±0.000813</w:t>
            </w:r>
          </w:p>
        </w:tc>
      </w:tr>
    </w:tbl>
    <w:p w14:paraId="7E10026C" w14:textId="77777777" w:rsidR="00B14FA3" w:rsidRPr="00B14FA3" w:rsidRDefault="00B14FA3" w:rsidP="00B14FA3"/>
    <w:p w14:paraId="4739D3EF" w14:textId="77777777" w:rsidR="00B14FA3" w:rsidRPr="00B14FA3" w:rsidRDefault="00B14FA3" w:rsidP="00B14FA3">
      <w:pPr>
        <w:keepNext/>
        <w:spacing w:before="60"/>
        <w:ind w:firstLine="0"/>
        <w:jc w:val="center"/>
      </w:pPr>
      <w:r w:rsidRPr="00B14FA3">
        <w:rPr>
          <w:noProof/>
        </w:rPr>
        <w:drawing>
          <wp:inline distT="0" distB="0" distL="0" distR="0" wp14:anchorId="3E6F0209" wp14:editId="43ADD92D">
            <wp:extent cx="6115050" cy="4410194"/>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4410194"/>
                    </a:xfrm>
                    <a:prstGeom prst="rect">
                      <a:avLst/>
                    </a:prstGeom>
                    <a:noFill/>
                    <a:ln>
                      <a:noFill/>
                    </a:ln>
                  </pic:spPr>
                </pic:pic>
              </a:graphicData>
            </a:graphic>
          </wp:inline>
        </w:drawing>
      </w:r>
    </w:p>
    <w:p w14:paraId="1084447B"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2 </w:t>
      </w:r>
      <w:r w:rsidRPr="00B14FA3">
        <w:rPr>
          <w:rFonts w:eastAsia="黑体"/>
          <w:b/>
          <w:color w:val="000000"/>
          <w:sz w:val="18"/>
        </w:rPr>
        <w:t>基础模型消融结果</w:t>
      </w:r>
    </w:p>
    <w:p w14:paraId="3D43CF31" w14:textId="77777777" w:rsidR="00B14FA3" w:rsidRPr="00B14FA3" w:rsidRDefault="00B14FA3" w:rsidP="00B14FA3">
      <w:r w:rsidRPr="00B14FA3">
        <w:rPr>
          <w:rFonts w:eastAsia="宋体"/>
          <w:color w:val="000000"/>
          <w:sz w:val="21"/>
          <w:szCs w:val="21"/>
        </w:rPr>
        <w:t>频域相关配置未表现出与自适应多尺度相同的增益。FITS和DLinear+频域门控的MSE分别比DLinear高4.25%和1.65%；在自适应多尺度模型上加入</w:t>
      </w:r>
      <w:r w:rsidRPr="00B14FA3">
        <w:rPr>
          <w:rFonts w:eastAsia="宋体"/>
          <w:color w:val="000000"/>
          <w:sz w:val="21"/>
          <w:szCs w:val="21"/>
          <w:i/>
          <w:iCs/>
        </w:rPr>
        <w:t>r</w:t>
      </w:r>
      <w:r w:rsidRPr="00B14FA3">
        <w:rPr>
          <w:rFonts w:eastAsia="宋体"/>
          <w:color w:val="000000"/>
          <w:sz w:val="21"/>
          <w:szCs w:val="21"/>
        </w:rPr>
        <w:t>=0.50的频域门控后，MSE由0.186099升至0.192432，虽仍低于DLinear，但没有超过无频域自适应多尺度模型。由此可见，当前基础实验中的主要性能改善来自多尺度专家与自适应融合，而非低频门控。频域门控的作用将在后续频率保留比例敏感性实验中进一步分析。</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6D706097"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Cs w:val="21"/>
          <w:sz w:val="21"/>
        </w:rPr>
        <w:t xml:space="preserve">2.3 自适应尺度权重消融与路由分析</w:t>
      </w:r>
      <w:r w:rsidRPr="00B14FA3">
        <w:rPr>
          <w:rFonts w:ascii="Arial" w:eastAsia="黑体" w:hAnsi="Arial"/>
          <w:b/>
          <w:bCs/>
          <w:color w:val="000000"/>
          <w:szCs w:val="32"/>
        </w:rPr>
        <w:t/>
      </w:r>
    </w:p>
    <w:p w14:paraId="0B36803D" w14:textId="77777777" w:rsidR="00B14FA3" w:rsidRPr="00B14FA3" w:rsidRDefault="00B14FA3" w:rsidP="00B14FA3">
      <w:r>
        <w:rPr>
          <w:rFonts w:ascii="Times New Roman" w:hAnsi="Times New Roman" w:eastAsia="宋体" w:cs="Times New Roman"/>
          <w:sz w:val="21"/>
          <w:szCs w:val="21"/>
        </w:rPr>
        <w:t>为判断预测性能提升是来自多尺度结构本身还是样本级动态加权，表2在尺度集合、专家结构和训练设置保持一致的条件下，仅改变尺度权重的生成方式。无频域条件下，自适应权重模型的MSE由0.193750降至0.186099，下降3.95%；MAE由0.189802降至0.168203，下降11.38%。相同随机种子的MSE平均配对差为0.007651，95% CI为[0.005238, 0.010064]，</w:t>
      </w:r>
      <w:r>
        <w:rPr>
          <w:rFonts w:ascii="Times New Roman" w:hAnsi="Times New Roman" w:eastAsia="宋体" w:cs="Times New Roman"/>
          <w:sz w:val="21"/>
          <w:szCs w:val="21"/>
          <w:i/>
          <w:iCs/>
        </w:rPr>
        <w:t>t</w:t>
      </w:r>
      <w:r>
        <w:rPr>
          <w:rFonts w:ascii="Times New Roman" w:hAnsi="Times New Roman" w:eastAsia="宋体" w:cs="Times New Roman"/>
          <w:sz w:val="21"/>
          <w:szCs w:val="21"/>
        </w:rPr>
        <w:t>(2)=13.642，Holm校正后</w:t>
      </w:r>
      <w:r>
        <w:rPr>
          <w:rFonts w:ascii="Times New Roman" w:hAnsi="Times New Roman" w:eastAsia="宋体" w:cs="Times New Roman"/>
          <w:sz w:val="21"/>
          <w:szCs w:val="21"/>
          <w:i/>
          <w:iCs/>
        </w:rPr>
        <w:t>p</w:t>
      </w:r>
      <w:r>
        <w:rPr>
          <w:rFonts w:ascii="Times New Roman" w:hAnsi="Times New Roman" w:eastAsia="宋体" w:cs="Times New Roman"/>
          <w:sz w:val="21"/>
          <w:szCs w:val="21"/>
        </w:rPr>
        <w:t xml:space="preserve">=0.01066，Cohen's </w:t>
      </w:r>
      <w:r>
        <w:rPr>
          <w:rFonts w:ascii="Times New Roman" w:hAnsi="Times New Roman" w:eastAsia="宋体" w:cs="Times New Roman"/>
          <w:sz w:val="21"/>
          <w:szCs w:val="21"/>
          <w:i/>
          <w:iCs/>
        </w:rPr>
        <w:t>d</w:t>
      </w:r>
      <w:r>
        <w:rPr>
          <w:rFonts w:ascii="Times New Roman" w:hAnsi="Times New Roman" w:eastAsia="宋体" w:cs="Times New Roman"/>
          <w:sz w:val="21"/>
          <w:szCs w:val="21"/>
          <w:vertAlign w:val="subscript"/>
        </w:rPr>
        <w:t>z</w:t>
      </w:r>
      <w:r>
        <w:rPr>
          <w:rFonts w:ascii="Times New Roman" w:hAnsi="Times New Roman" w:eastAsia="宋体" w:cs="Times New Roman"/>
          <w:sz w:val="21"/>
          <w:szCs w:val="21"/>
        </w:rPr>
        <w:t>=7.876。三个随机种子的误差变化方向一致，说明在当前主模型设置下，自适应尺度权重比固定等权融合更有利于降低预测误差；受独立重复数限制，效应量和置信区间仍需谨慎解释。同种子配对变化见图3。</w:t>
      </w:r>
    </w:p>
    <w:p w14:paraId="44E24F8B" w14:textId="77777777" w:rsidR="00B14FA3" w:rsidRPr="00B14FA3" w:rsidRDefault="00B14FA3" w:rsidP="00B14FA3">
      <w:pPr>
        <w:keepNext/>
        <w:spacing w:before="60" w:after="40"/>
        <w:ind w:firstLine="0"/>
        <w:jc w:val="center"/>
      </w:pPr>
      <w:r w:rsidRPr="00B14FA3">
        <w:rPr>
          <w:rFonts w:eastAsia="黑体"/>
          <w:b/>
          <w:color w:val="000000"/>
          <w:sz w:val="18"/>
        </w:rPr>
        <w:t>表</w:t>
      </w:r>
      <w:r w:rsidRPr="00B14FA3">
        <w:rPr>
          <w:rFonts w:eastAsia="黑体"/>
          <w:b/>
          <w:color w:val="000000"/>
          <w:sz w:val="18"/>
        </w:rPr>
        <w:t xml:space="preserve">2 </w:t>
      </w:r>
      <w:r w:rsidRPr="00B14FA3">
        <w:rPr>
          <w:rFonts w:eastAsia="黑体"/>
          <w:b/>
          <w:color w:val="000000"/>
          <w:sz w:val="18"/>
        </w:rPr>
        <w:t>权重方式消融结果</w:t>
      </w:r>
    </w:p>
    <w:tbl>
      <w:tblPr>
        <w:tblW w:w="0" w:type="auto"/>
        <w:jc w:val="center"/>
        <w:tblBorders>
          <w:insideH w:val="nil"/>
          <w:insideV w:val="nil"/>
        </w:tblBorders>
        <w:tblLayout w:type="fixed"/>
        <w:tblLook w:val="04A0" w:firstRow="1" w:lastRow="0" w:firstColumn="1" w:lastColumn="0" w:noHBand="0" w:noVBand="1"/>
      </w:tblPr>
      <w:tblGrid>
        <w:gridCol w:w="1800"/>
        <w:gridCol w:w="1800"/>
        <w:gridCol w:w="2952"/>
        <w:gridCol w:w="2952"/>
      </w:tblGrid>
      <w:tr w:rsidR="00B14FA3" w:rsidRPr="00B14FA3" w14:paraId="43E89116" w14:textId="77777777">
        <w:trPr>
          <w:cantSplit/>
          <w:tblHeader/>
          <w:jc w:val="center"/>
        </w:trPr>
        <w:tc>
          <w:tcPr>
            <w:tcW w:w="1800"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391267DB" w14:textId="77777777" w:rsidR="00B14FA3" w:rsidRPr="00B14FA3" w:rsidRDefault="00B14FA3" w:rsidP="00B14FA3">
            <w:pPr>
              <w:keepNext/>
              <w:ind w:firstLine="0"/>
              <w:jc w:val="center"/>
            </w:pPr>
            <w:r w:rsidRPr="00B14FA3">
              <w:rPr>
                <w:rFonts w:eastAsia="宋体"/>
                <w:b/>
                <w:color w:val="000000"/>
                <w:sz w:val="21"/>
                <w:szCs w:val="21"/>
              </w:rPr>
              <w:t>频域设置</w:t>
            </w:r>
          </w:p>
        </w:tc>
        <w:tc>
          <w:tcPr>
            <w:tcW w:w="1800"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122706AA" w14:textId="77777777" w:rsidR="00B14FA3" w:rsidRPr="00B14FA3" w:rsidRDefault="00B14FA3" w:rsidP="00B14FA3">
            <w:pPr>
              <w:keepNext/>
              <w:ind w:firstLine="0"/>
              <w:jc w:val="center"/>
            </w:pPr>
            <w:r w:rsidRPr="00B14FA3">
              <w:rPr>
                <w:rFonts w:eastAsia="宋体"/>
                <w:b/>
                <w:color w:val="000000"/>
                <w:sz w:val="21"/>
                <w:szCs w:val="21"/>
              </w:rPr>
              <w:t>权重方式</w:t>
            </w:r>
          </w:p>
        </w:tc>
        <w:tc>
          <w:tcPr>
            <w:tcW w:w="2952"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7E3773E2" w14:textId="77777777" w:rsidR="00B14FA3" w:rsidRPr="00B14FA3" w:rsidRDefault="00B14FA3" w:rsidP="00B14FA3">
            <w:pPr>
              <w:keepNext/>
              <w:ind w:firstLine="0"/>
              <w:jc w:val="center"/>
            </w:pPr>
            <w:r w:rsidRPr="00B14FA3">
              <w:rPr>
                <w:rFonts w:eastAsia="宋体"/>
                <w:b/>
                <w:color w:val="000000"/>
                <w:sz w:val="21"/>
                <w:szCs w:val="21"/>
              </w:rPr>
              <w:t>MSE</w:t>
            </w:r>
          </w:p>
        </w:tc>
        <w:tc>
          <w:tcPr>
            <w:tcW w:w="2952"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306593EC" w14:textId="77777777" w:rsidR="00B14FA3" w:rsidRPr="00B14FA3" w:rsidRDefault="00B14FA3" w:rsidP="00B14FA3">
            <w:pPr>
              <w:keepNext/>
              <w:ind w:firstLine="0"/>
              <w:jc w:val="center"/>
            </w:pPr>
            <w:r w:rsidRPr="00B14FA3">
              <w:rPr>
                <w:rFonts w:eastAsia="宋体"/>
                <w:b/>
                <w:color w:val="000000"/>
                <w:sz w:val="21"/>
                <w:szCs w:val="21"/>
              </w:rPr>
              <w:t>MAE</w:t>
            </w:r>
          </w:p>
        </w:tc>
      </w:tr>
      <w:tr w:rsidR="00B14FA3" w:rsidRPr="00B14FA3" w14:paraId="432DABEF" w14:textId="77777777">
        <w:trPr>
          <w:cantSplit/>
          <w:jc w:val="center"/>
        </w:trPr>
        <w:tc>
          <w:tcPr>
            <w:tcW w:w="1800" w:type="dxa"/>
            <w:tcBorders>
              <w:top w:val="nil"/>
              <w:left w:val="nil"/>
              <w:bottom w:val="nil"/>
              <w:right w:val="nil"/>
            </w:tcBorders>
            <w:tcMar>
              <w:top w:w="55" w:type="dxa"/>
              <w:left w:w="70" w:type="dxa"/>
              <w:bottom w:w="55" w:type="dxa"/>
              <w:right w:w="70" w:type="dxa"/>
            </w:tcMar>
            <w:vAlign w:val="center"/>
            <w:hideMark/>
          </w:tcPr>
          <w:p w14:paraId="4C12D65A" w14:textId="77777777" w:rsidR="00B14FA3" w:rsidRPr="00B14FA3" w:rsidRDefault="00B14FA3" w:rsidP="00B14FA3">
            <w:pPr>
              <w:keepNext/>
              <w:ind w:firstLine="0"/>
              <w:jc w:val="left"/>
            </w:pPr>
            <w:r w:rsidRPr="00B14FA3">
              <w:rPr>
                <w:rFonts w:eastAsia="宋体"/>
                <w:color w:val="000000"/>
                <w:sz w:val="21"/>
                <w:szCs w:val="21"/>
              </w:rPr>
              <w:t>无频域</w:t>
            </w:r>
          </w:p>
        </w:tc>
        <w:tc>
          <w:tcPr>
            <w:tcW w:w="1800" w:type="dxa"/>
            <w:tcBorders>
              <w:top w:val="nil"/>
              <w:left w:val="nil"/>
              <w:bottom w:val="nil"/>
              <w:right w:val="nil"/>
            </w:tcBorders>
            <w:tcMar>
              <w:top w:w="55" w:type="dxa"/>
              <w:left w:w="70" w:type="dxa"/>
              <w:bottom w:w="55" w:type="dxa"/>
              <w:right w:w="70" w:type="dxa"/>
            </w:tcMar>
            <w:vAlign w:val="center"/>
            <w:hideMark/>
          </w:tcPr>
          <w:p w14:paraId="09B620FA" w14:textId="77777777" w:rsidR="00B14FA3" w:rsidRPr="00B14FA3" w:rsidRDefault="00B14FA3" w:rsidP="00B14FA3">
            <w:pPr>
              <w:keepNext/>
              <w:ind w:firstLine="0"/>
              <w:jc w:val="center"/>
            </w:pPr>
            <w:r w:rsidRPr="00B14FA3">
              <w:rPr>
                <w:rFonts w:eastAsia="宋体"/>
                <w:color w:val="000000"/>
                <w:sz w:val="21"/>
                <w:szCs w:val="21"/>
              </w:rPr>
              <w:t>固定等权</w:t>
            </w:r>
          </w:p>
        </w:tc>
        <w:tc>
          <w:tcPr>
            <w:tcW w:w="2952" w:type="dxa"/>
            <w:tcBorders>
              <w:top w:val="nil"/>
              <w:left w:val="nil"/>
              <w:bottom w:val="nil"/>
              <w:right w:val="nil"/>
            </w:tcBorders>
            <w:tcMar>
              <w:top w:w="55" w:type="dxa"/>
              <w:left w:w="70" w:type="dxa"/>
              <w:bottom w:w="55" w:type="dxa"/>
              <w:right w:w="70" w:type="dxa"/>
            </w:tcMar>
            <w:vAlign w:val="center"/>
            <w:hideMark/>
          </w:tcPr>
          <w:p w14:paraId="2B1BC7FA" w14:textId="77777777" w:rsidR="00B14FA3" w:rsidRPr="00B14FA3" w:rsidRDefault="00B14FA3" w:rsidP="00B14FA3">
            <w:pPr>
              <w:keepNext/>
              <w:ind w:firstLine="0"/>
              <w:jc w:val="center"/>
            </w:pPr>
            <w:r w:rsidRPr="00B14FA3">
              <w:rPr>
                <w:rFonts w:eastAsia="宋体"/>
                <w:color w:val="000000"/>
                <w:sz w:val="21"/>
                <w:szCs w:val="21"/>
              </w:rPr>
              <w:t>0.193750±0.001103</w:t>
            </w:r>
          </w:p>
        </w:tc>
        <w:tc>
          <w:tcPr>
            <w:tcW w:w="2952" w:type="dxa"/>
            <w:tcBorders>
              <w:top w:val="nil"/>
              <w:left w:val="nil"/>
              <w:bottom w:val="nil"/>
              <w:right w:val="nil"/>
            </w:tcBorders>
            <w:tcMar>
              <w:top w:w="55" w:type="dxa"/>
              <w:left w:w="70" w:type="dxa"/>
              <w:bottom w:w="55" w:type="dxa"/>
              <w:right w:w="70" w:type="dxa"/>
            </w:tcMar>
            <w:vAlign w:val="center"/>
            <w:hideMark/>
          </w:tcPr>
          <w:p w14:paraId="63D37B4A" w14:textId="77777777" w:rsidR="00B14FA3" w:rsidRPr="00B14FA3" w:rsidRDefault="00B14FA3" w:rsidP="00B14FA3">
            <w:pPr>
              <w:keepNext/>
              <w:ind w:firstLine="0"/>
              <w:jc w:val="center"/>
            </w:pPr>
            <w:r w:rsidRPr="00B14FA3">
              <w:rPr>
                <w:rFonts w:eastAsia="宋体"/>
                <w:color w:val="000000"/>
                <w:sz w:val="21"/>
                <w:szCs w:val="21"/>
              </w:rPr>
              <w:t>0.189802±0.005236</w:t>
            </w:r>
          </w:p>
        </w:tc>
      </w:tr>
      <w:tr w:rsidR="00B14FA3" w:rsidRPr="00B14FA3" w14:paraId="31BF4906" w14:textId="77777777">
        <w:trPr>
          <w:cantSplit/>
          <w:jc w:val="center"/>
        </w:trPr>
        <w:tc>
          <w:tcPr>
            <w:tcW w:w="1800" w:type="dxa"/>
            <w:tcBorders>
              <w:top w:val="nil"/>
              <w:left w:val="nil"/>
              <w:bottom w:val="nil"/>
              <w:right w:val="nil"/>
            </w:tcBorders>
            <w:tcMar>
              <w:top w:w="55" w:type="dxa"/>
              <w:left w:w="70" w:type="dxa"/>
              <w:bottom w:w="55" w:type="dxa"/>
              <w:right w:w="70" w:type="dxa"/>
            </w:tcMar>
            <w:vAlign w:val="center"/>
            <w:hideMark/>
          </w:tcPr>
          <w:p w14:paraId="4A29D8CC" w14:textId="77777777" w:rsidR="00B14FA3" w:rsidRPr="00B14FA3" w:rsidRDefault="00B14FA3" w:rsidP="00B14FA3">
            <w:pPr>
              <w:keepNext/>
              <w:ind w:firstLine="0"/>
              <w:jc w:val="left"/>
            </w:pPr>
            <w:r w:rsidRPr="00B14FA3">
              <w:rPr>
                <w:rFonts w:eastAsia="宋体"/>
                <w:color w:val="000000"/>
                <w:sz w:val="21"/>
                <w:szCs w:val="21"/>
              </w:rPr>
              <w:t>无频域</w:t>
            </w:r>
          </w:p>
        </w:tc>
        <w:tc>
          <w:tcPr>
            <w:tcW w:w="1800" w:type="dxa"/>
            <w:tcBorders>
              <w:top w:val="nil"/>
              <w:left w:val="nil"/>
              <w:bottom w:val="nil"/>
              <w:right w:val="nil"/>
            </w:tcBorders>
            <w:tcMar>
              <w:top w:w="55" w:type="dxa"/>
              <w:left w:w="70" w:type="dxa"/>
              <w:bottom w:w="55" w:type="dxa"/>
              <w:right w:w="70" w:type="dxa"/>
            </w:tcMar>
            <w:vAlign w:val="center"/>
            <w:hideMark/>
          </w:tcPr>
          <w:p w14:paraId="426EF64E" w14:textId="77777777" w:rsidR="00B14FA3" w:rsidRPr="00B14FA3" w:rsidRDefault="00B14FA3" w:rsidP="00B14FA3">
            <w:pPr>
              <w:keepNext/>
              <w:ind w:firstLine="0"/>
              <w:jc w:val="center"/>
            </w:pPr>
            <w:r w:rsidRPr="00B14FA3">
              <w:rPr>
                <w:rFonts w:eastAsia="宋体"/>
                <w:color w:val="000000"/>
                <w:sz w:val="21"/>
                <w:szCs w:val="21"/>
              </w:rPr>
              <w:t>自适应</w:t>
            </w:r>
          </w:p>
        </w:tc>
        <w:tc>
          <w:tcPr>
            <w:tcW w:w="2952" w:type="dxa"/>
            <w:tcBorders>
              <w:top w:val="nil"/>
              <w:left w:val="nil"/>
              <w:bottom w:val="nil"/>
              <w:right w:val="nil"/>
            </w:tcBorders>
            <w:tcMar>
              <w:top w:w="55" w:type="dxa"/>
              <w:left w:w="70" w:type="dxa"/>
              <w:bottom w:w="55" w:type="dxa"/>
              <w:right w:w="70" w:type="dxa"/>
            </w:tcMar>
            <w:vAlign w:val="center"/>
            <w:hideMark/>
          </w:tcPr>
          <w:p w14:paraId="35EBF344" w14:textId="77777777" w:rsidR="00B14FA3" w:rsidRPr="00B14FA3" w:rsidRDefault="00B14FA3" w:rsidP="00B14FA3">
            <w:pPr>
              <w:keepNext/>
              <w:ind w:firstLine="0"/>
              <w:jc w:val="center"/>
            </w:pPr>
            <w:r w:rsidRPr="00B14FA3">
              <w:rPr>
                <w:rFonts w:eastAsia="宋体"/>
                <w:color w:val="000000"/>
                <w:sz w:val="21"/>
                <w:szCs w:val="21"/>
              </w:rPr>
              <w:t>0.186099±0.001996</w:t>
            </w:r>
          </w:p>
        </w:tc>
        <w:tc>
          <w:tcPr>
            <w:tcW w:w="2952" w:type="dxa"/>
            <w:tcBorders>
              <w:top w:val="nil"/>
              <w:left w:val="nil"/>
              <w:bottom w:val="nil"/>
              <w:right w:val="nil"/>
            </w:tcBorders>
            <w:tcMar>
              <w:top w:w="55" w:type="dxa"/>
              <w:left w:w="70" w:type="dxa"/>
              <w:bottom w:w="55" w:type="dxa"/>
              <w:right w:w="70" w:type="dxa"/>
            </w:tcMar>
            <w:vAlign w:val="center"/>
            <w:hideMark/>
          </w:tcPr>
          <w:p w14:paraId="37E044E1" w14:textId="77777777" w:rsidR="00B14FA3" w:rsidRPr="00B14FA3" w:rsidRDefault="00B14FA3" w:rsidP="00B14FA3">
            <w:pPr>
              <w:keepNext/>
              <w:ind w:firstLine="0"/>
              <w:jc w:val="center"/>
            </w:pPr>
            <w:r w:rsidRPr="00B14FA3">
              <w:rPr>
                <w:rFonts w:eastAsia="宋体"/>
                <w:color w:val="000000"/>
                <w:sz w:val="21"/>
                <w:szCs w:val="21"/>
              </w:rPr>
              <w:t>0.168203±0.000583</w:t>
            </w:r>
          </w:p>
        </w:tc>
      </w:tr>
      <w:tr w:rsidR="00B14FA3" w:rsidRPr="00B14FA3" w14:paraId="438014B7" w14:textId="77777777">
        <w:trPr>
          <w:cantSplit/>
          <w:jc w:val="center"/>
        </w:trPr>
        <w:tc>
          <w:tcPr>
            <w:tcW w:w="1800" w:type="dxa"/>
            <w:tcBorders>
              <w:top w:val="nil"/>
              <w:left w:val="nil"/>
              <w:bottom w:val="nil"/>
              <w:right w:val="nil"/>
            </w:tcBorders>
            <w:tcMar>
              <w:top w:w="55" w:type="dxa"/>
              <w:left w:w="70" w:type="dxa"/>
              <w:bottom w:w="55" w:type="dxa"/>
              <w:right w:w="70" w:type="dxa"/>
            </w:tcMar>
            <w:vAlign w:val="center"/>
            <w:hideMark/>
          </w:tcPr>
          <w:p w14:paraId="12614A7E" w14:textId="77777777" w:rsidR="00B14FA3" w:rsidRPr="00B14FA3" w:rsidRDefault="00B14FA3" w:rsidP="00B14FA3">
            <w:pPr>
              <w:keepNext/>
              <w:ind w:firstLine="0"/>
              <w:jc w:val="left"/>
            </w:pPr>
            <w:r>
              <w:rPr>
                <w:rFonts w:ascii="Times New Roman" w:hAnsi="Times New Roman" w:eastAsia="宋体" w:cs="Times New Roman"/>
                <w:sz w:val="21"/>
                <w:szCs w:val="21"/>
                <w:i/>
                <w:iCs/>
              </w:rPr>
              <w:t>r</w:t>
            </w:r>
            <w:r>
              <w:rPr>
                <w:rFonts w:ascii="Times New Roman" w:hAnsi="Times New Roman" w:eastAsia="宋体" w:cs="Times New Roman"/>
                <w:sz w:val="21"/>
                <w:szCs w:val="21"/>
              </w:rPr>
              <w:t>=0.50</w:t>
            </w:r>
          </w:p>
        </w:tc>
        <w:tc>
          <w:tcPr>
            <w:tcW w:w="1800" w:type="dxa"/>
            <w:tcBorders>
              <w:top w:val="nil"/>
              <w:left w:val="nil"/>
              <w:bottom w:val="nil"/>
              <w:right w:val="nil"/>
            </w:tcBorders>
            <w:tcMar>
              <w:top w:w="55" w:type="dxa"/>
              <w:left w:w="70" w:type="dxa"/>
              <w:bottom w:w="55" w:type="dxa"/>
              <w:right w:w="70" w:type="dxa"/>
            </w:tcMar>
            <w:vAlign w:val="center"/>
            <w:hideMark/>
          </w:tcPr>
          <w:p w14:paraId="3973790C" w14:textId="77777777" w:rsidR="00B14FA3" w:rsidRPr="00B14FA3" w:rsidRDefault="00B14FA3" w:rsidP="00B14FA3">
            <w:pPr>
              <w:keepNext/>
              <w:ind w:firstLine="0"/>
              <w:jc w:val="center"/>
            </w:pPr>
            <w:r w:rsidRPr="00B14FA3">
              <w:rPr>
                <w:rFonts w:eastAsia="宋体"/>
                <w:color w:val="000000"/>
                <w:sz w:val="21"/>
                <w:szCs w:val="21"/>
              </w:rPr>
              <w:t>固定等权</w:t>
            </w:r>
          </w:p>
        </w:tc>
        <w:tc>
          <w:tcPr>
            <w:tcW w:w="2952" w:type="dxa"/>
            <w:tcBorders>
              <w:top w:val="nil"/>
              <w:left w:val="nil"/>
              <w:bottom w:val="nil"/>
              <w:right w:val="nil"/>
            </w:tcBorders>
            <w:tcMar>
              <w:top w:w="55" w:type="dxa"/>
              <w:left w:w="70" w:type="dxa"/>
              <w:bottom w:w="55" w:type="dxa"/>
              <w:right w:w="70" w:type="dxa"/>
            </w:tcMar>
            <w:vAlign w:val="center"/>
            <w:hideMark/>
          </w:tcPr>
          <w:p w14:paraId="1DF7A0D2" w14:textId="77777777" w:rsidR="00B14FA3" w:rsidRPr="00B14FA3" w:rsidRDefault="00B14FA3" w:rsidP="00B14FA3">
            <w:pPr>
              <w:keepNext/>
              <w:ind w:firstLine="0"/>
              <w:jc w:val="center"/>
            </w:pPr>
            <w:r w:rsidRPr="00B14FA3">
              <w:rPr>
                <w:rFonts w:eastAsia="宋体"/>
                <w:color w:val="000000"/>
                <w:sz w:val="21"/>
                <w:szCs w:val="21"/>
              </w:rPr>
              <w:t>0.200384±0.002176</w:t>
            </w:r>
          </w:p>
        </w:tc>
        <w:tc>
          <w:tcPr>
            <w:tcW w:w="2952" w:type="dxa"/>
            <w:tcBorders>
              <w:top w:val="nil"/>
              <w:left w:val="nil"/>
              <w:bottom w:val="nil"/>
              <w:right w:val="nil"/>
            </w:tcBorders>
            <w:tcMar>
              <w:top w:w="55" w:type="dxa"/>
              <w:left w:w="70" w:type="dxa"/>
              <w:bottom w:w="55" w:type="dxa"/>
              <w:right w:w="70" w:type="dxa"/>
            </w:tcMar>
            <w:vAlign w:val="center"/>
            <w:hideMark/>
          </w:tcPr>
          <w:p w14:paraId="3FE15B80" w14:textId="77777777" w:rsidR="00B14FA3" w:rsidRPr="00B14FA3" w:rsidRDefault="00B14FA3" w:rsidP="00B14FA3">
            <w:pPr>
              <w:keepNext/>
              <w:ind w:firstLine="0"/>
              <w:jc w:val="center"/>
            </w:pPr>
            <w:r w:rsidRPr="00B14FA3">
              <w:rPr>
                <w:rFonts w:eastAsia="宋体"/>
                <w:color w:val="000000"/>
                <w:sz w:val="21"/>
                <w:szCs w:val="21"/>
              </w:rPr>
              <w:t>0.195155±0.005022</w:t>
            </w:r>
          </w:p>
        </w:tc>
      </w:tr>
      <w:tr w:rsidR="00B14FA3" w:rsidRPr="00B14FA3" w14:paraId="7A3F2EB1" w14:textId="77777777">
        <w:trPr>
          <w:cantSplit/>
          <w:jc w:val="center"/>
        </w:trPr>
        <w:tc>
          <w:tcPr>
            <w:tcW w:w="1800" w:type="dxa"/>
            <w:tcBorders>
              <w:top w:val="nil"/>
              <w:left w:val="nil"/>
              <w:bottom w:val="nil"/>
              <w:right w:val="nil"/>
            </w:tcBorders>
            <w:tcMar>
              <w:top w:w="55" w:type="dxa"/>
              <w:left w:w="70" w:type="dxa"/>
              <w:bottom w:w="55" w:type="dxa"/>
              <w:right w:w="70" w:type="dxa"/>
            </w:tcMar>
            <w:vAlign w:val="center"/>
            <w:hideMark/>
          </w:tcPr>
          <w:p w14:paraId="23A79ACE" w14:textId="77777777" w:rsidR="00B14FA3" w:rsidRPr="00B14FA3" w:rsidRDefault="00B14FA3" w:rsidP="00B14FA3">
            <w:pPr>
              <w:keepNext/>
              <w:ind w:firstLine="0"/>
              <w:jc w:val="left"/>
            </w:pPr>
            <w:r>
              <w:rPr>
                <w:rFonts w:ascii="Times New Roman" w:hAnsi="Times New Roman" w:eastAsia="宋体" w:cs="Times New Roman"/>
                <w:sz w:val="21"/>
                <w:szCs w:val="21"/>
                <w:i/>
                <w:iCs/>
              </w:rPr>
              <w:t>r</w:t>
            </w:r>
            <w:r>
              <w:rPr>
                <w:rFonts w:ascii="Times New Roman" w:hAnsi="Times New Roman" w:eastAsia="宋体" w:cs="Times New Roman"/>
                <w:sz w:val="21"/>
                <w:szCs w:val="21"/>
              </w:rPr>
              <w:t>=0.50</w:t>
            </w:r>
          </w:p>
        </w:tc>
        <w:tc>
          <w:tcPr>
            <w:tcW w:w="1800" w:type="dxa"/>
            <w:tcBorders>
              <w:top w:val="nil"/>
              <w:left w:val="nil"/>
              <w:bottom w:val="nil"/>
              <w:right w:val="nil"/>
            </w:tcBorders>
            <w:tcMar>
              <w:top w:w="55" w:type="dxa"/>
              <w:left w:w="70" w:type="dxa"/>
              <w:bottom w:w="55" w:type="dxa"/>
              <w:right w:w="70" w:type="dxa"/>
            </w:tcMar>
            <w:vAlign w:val="center"/>
            <w:hideMark/>
          </w:tcPr>
          <w:p w14:paraId="6FEAA102" w14:textId="77777777" w:rsidR="00B14FA3" w:rsidRPr="00B14FA3" w:rsidRDefault="00B14FA3" w:rsidP="00B14FA3">
            <w:pPr>
              <w:keepNext/>
              <w:ind w:firstLine="0"/>
              <w:jc w:val="center"/>
            </w:pPr>
            <w:r w:rsidRPr="00B14FA3">
              <w:rPr>
                <w:rFonts w:eastAsia="宋体"/>
                <w:color w:val="000000"/>
                <w:sz w:val="21"/>
                <w:szCs w:val="21"/>
              </w:rPr>
              <w:t>自适应</w:t>
            </w:r>
          </w:p>
        </w:tc>
        <w:tc>
          <w:tcPr>
            <w:tcW w:w="2952" w:type="dxa"/>
            <w:tcBorders>
              <w:top w:val="nil"/>
              <w:left w:val="nil"/>
              <w:bottom w:val="nil"/>
              <w:right w:val="nil"/>
            </w:tcBorders>
            <w:tcMar>
              <w:top w:w="55" w:type="dxa"/>
              <w:left w:w="70" w:type="dxa"/>
              <w:bottom w:w="55" w:type="dxa"/>
              <w:right w:w="70" w:type="dxa"/>
            </w:tcMar>
            <w:vAlign w:val="center"/>
            <w:hideMark/>
          </w:tcPr>
          <w:p w14:paraId="172FB135" w14:textId="77777777" w:rsidR="00B14FA3" w:rsidRPr="00B14FA3" w:rsidRDefault="00B14FA3" w:rsidP="00B14FA3">
            <w:pPr>
              <w:keepNext/>
              <w:ind w:firstLine="0"/>
              <w:jc w:val="center"/>
            </w:pPr>
            <w:r w:rsidRPr="00B14FA3">
              <w:rPr>
                <w:rFonts w:eastAsia="宋体"/>
                <w:color w:val="000000"/>
                <w:sz w:val="21"/>
                <w:szCs w:val="21"/>
              </w:rPr>
              <w:t>0.192432±0.005766</w:t>
            </w:r>
          </w:p>
        </w:tc>
        <w:tc>
          <w:tcPr>
            <w:tcW w:w="2952" w:type="dxa"/>
            <w:tcBorders>
              <w:top w:val="nil"/>
              <w:left w:val="nil"/>
              <w:bottom w:val="nil"/>
              <w:right w:val="nil"/>
            </w:tcBorders>
            <w:tcMar>
              <w:top w:w="55" w:type="dxa"/>
              <w:left w:w="70" w:type="dxa"/>
              <w:bottom w:w="55" w:type="dxa"/>
              <w:right w:w="70" w:type="dxa"/>
            </w:tcMar>
            <w:vAlign w:val="center"/>
            <w:hideMark/>
          </w:tcPr>
          <w:p w14:paraId="1BADEBE3" w14:textId="77777777" w:rsidR="00B14FA3" w:rsidRPr="00B14FA3" w:rsidRDefault="00B14FA3" w:rsidP="00B14FA3">
            <w:pPr>
              <w:keepNext/>
              <w:ind w:firstLine="0"/>
              <w:jc w:val="center"/>
            </w:pPr>
            <w:r w:rsidRPr="00B14FA3">
              <w:rPr>
                <w:rFonts w:eastAsia="宋体"/>
                <w:color w:val="000000"/>
                <w:sz w:val="21"/>
                <w:szCs w:val="21"/>
              </w:rPr>
              <w:t>0.173438±0.000813</w:t>
            </w:r>
          </w:p>
        </w:tc>
      </w:tr>
      <w:tr w:rsidR="00B14FA3" w:rsidRPr="00B14FA3" w14:paraId="515857A9" w14:textId="77777777">
        <w:trPr>
          <w:cantSplit/>
          <w:jc w:val="center"/>
        </w:trPr>
        <w:tc>
          <w:tcPr>
            <w:tcW w:w="1800" w:type="dxa"/>
            <w:tcBorders>
              <w:top w:val="nil"/>
              <w:left w:val="nil"/>
              <w:bottom w:val="nil"/>
              <w:right w:val="nil"/>
            </w:tcBorders>
            <w:tcMar>
              <w:top w:w="55" w:type="dxa"/>
              <w:left w:w="70" w:type="dxa"/>
              <w:bottom w:w="55" w:type="dxa"/>
              <w:right w:w="70" w:type="dxa"/>
            </w:tcMar>
            <w:vAlign w:val="center"/>
            <w:hideMark/>
          </w:tcPr>
          <w:p w14:paraId="64EF2439" w14:textId="77777777" w:rsidR="00B14FA3" w:rsidRPr="00B14FA3" w:rsidRDefault="00B14FA3" w:rsidP="00B14FA3">
            <w:pPr>
              <w:keepNext/>
              <w:ind w:firstLine="0"/>
              <w:jc w:val="left"/>
            </w:pPr>
            <w:r>
              <w:rPr>
                <w:rFonts w:ascii="Times New Roman" w:hAnsi="Times New Roman" w:eastAsia="宋体" w:cs="Times New Roman"/>
                <w:sz w:val="21"/>
                <w:szCs w:val="21"/>
                <w:i/>
                <w:iCs/>
              </w:rPr>
              <w:t>r</w:t>
            </w:r>
            <w:r>
              <w:rPr>
                <w:rFonts w:ascii="Times New Roman" w:hAnsi="Times New Roman" w:eastAsia="宋体" w:cs="Times New Roman"/>
                <w:sz w:val="21"/>
                <w:szCs w:val="21"/>
              </w:rPr>
              <w:t>=0.75</w:t>
            </w:r>
          </w:p>
        </w:tc>
        <w:tc>
          <w:tcPr>
            <w:tcW w:w="1800" w:type="dxa"/>
            <w:tcBorders>
              <w:top w:val="nil"/>
              <w:left w:val="nil"/>
              <w:bottom w:val="nil"/>
              <w:right w:val="nil"/>
            </w:tcBorders>
            <w:tcMar>
              <w:top w:w="55" w:type="dxa"/>
              <w:left w:w="70" w:type="dxa"/>
              <w:bottom w:w="55" w:type="dxa"/>
              <w:right w:w="70" w:type="dxa"/>
            </w:tcMar>
            <w:vAlign w:val="center"/>
            <w:hideMark/>
          </w:tcPr>
          <w:p w14:paraId="454D9C83" w14:textId="77777777" w:rsidR="00B14FA3" w:rsidRPr="00B14FA3" w:rsidRDefault="00B14FA3" w:rsidP="00B14FA3">
            <w:pPr>
              <w:keepNext/>
              <w:ind w:firstLine="0"/>
              <w:jc w:val="center"/>
            </w:pPr>
            <w:r w:rsidRPr="00B14FA3">
              <w:rPr>
                <w:rFonts w:eastAsia="宋体"/>
                <w:color w:val="000000"/>
                <w:sz w:val="21"/>
                <w:szCs w:val="21"/>
              </w:rPr>
              <w:t>固定等权</w:t>
            </w:r>
          </w:p>
        </w:tc>
        <w:tc>
          <w:tcPr>
            <w:tcW w:w="2952" w:type="dxa"/>
            <w:tcBorders>
              <w:top w:val="nil"/>
              <w:left w:val="nil"/>
              <w:bottom w:val="nil"/>
              <w:right w:val="nil"/>
            </w:tcBorders>
            <w:tcMar>
              <w:top w:w="55" w:type="dxa"/>
              <w:left w:w="70" w:type="dxa"/>
              <w:bottom w:w="55" w:type="dxa"/>
              <w:right w:w="70" w:type="dxa"/>
            </w:tcMar>
            <w:vAlign w:val="center"/>
            <w:hideMark/>
          </w:tcPr>
          <w:p w14:paraId="4D7A2674" w14:textId="77777777" w:rsidR="00B14FA3" w:rsidRPr="00B14FA3" w:rsidRDefault="00B14FA3" w:rsidP="00B14FA3">
            <w:pPr>
              <w:keepNext/>
              <w:ind w:firstLine="0"/>
              <w:jc w:val="center"/>
            </w:pPr>
            <w:r w:rsidRPr="00B14FA3">
              <w:rPr>
                <w:rFonts w:eastAsia="宋体"/>
                <w:color w:val="000000"/>
                <w:sz w:val="21"/>
                <w:szCs w:val="21"/>
              </w:rPr>
              <w:t>0.196809±0.001457</w:t>
            </w:r>
          </w:p>
        </w:tc>
        <w:tc>
          <w:tcPr>
            <w:tcW w:w="2952" w:type="dxa"/>
            <w:tcBorders>
              <w:top w:val="nil"/>
              <w:left w:val="nil"/>
              <w:bottom w:val="nil"/>
              <w:right w:val="nil"/>
            </w:tcBorders>
            <w:tcMar>
              <w:top w:w="55" w:type="dxa"/>
              <w:left w:w="70" w:type="dxa"/>
              <w:bottom w:w="55" w:type="dxa"/>
              <w:right w:w="70" w:type="dxa"/>
            </w:tcMar>
            <w:vAlign w:val="center"/>
            <w:hideMark/>
          </w:tcPr>
          <w:p w14:paraId="62221A50" w14:textId="77777777" w:rsidR="00B14FA3" w:rsidRPr="00B14FA3" w:rsidRDefault="00B14FA3" w:rsidP="00B14FA3">
            <w:pPr>
              <w:keepNext/>
              <w:ind w:firstLine="0"/>
              <w:jc w:val="center"/>
            </w:pPr>
            <w:r w:rsidRPr="00B14FA3">
              <w:rPr>
                <w:rFonts w:eastAsia="宋体"/>
                <w:color w:val="000000"/>
                <w:sz w:val="21"/>
                <w:szCs w:val="21"/>
              </w:rPr>
              <w:t>0.192722±0.005338</w:t>
            </w:r>
          </w:p>
        </w:tc>
      </w:tr>
      <w:tr w:rsidR="00B14FA3" w:rsidRPr="00B14FA3" w14:paraId="6C54936D" w14:textId="77777777">
        <w:trPr>
          <w:cantSplit/>
          <w:jc w:val="center"/>
        </w:trPr>
        <w:tc>
          <w:tcPr>
            <w:tcW w:w="1800" w:type="dxa"/>
            <w:tcBorders>
              <w:top w:val="nil"/>
              <w:left w:val="nil"/>
              <w:bottom w:val="single" w:sz="12" w:space="0" w:color="000000"/>
              <w:right w:val="nil"/>
            </w:tcBorders>
            <w:tcMar>
              <w:top w:w="55" w:type="dxa"/>
              <w:left w:w="70" w:type="dxa"/>
              <w:bottom w:w="55" w:type="dxa"/>
              <w:right w:w="70" w:type="dxa"/>
            </w:tcMar>
            <w:vAlign w:val="center"/>
            <w:hideMark/>
          </w:tcPr>
          <w:p w14:paraId="4527DE1D" w14:textId="77777777" w:rsidR="00B14FA3" w:rsidRPr="00B14FA3" w:rsidRDefault="00B14FA3" w:rsidP="00B14FA3">
            <w:pPr>
              <w:ind w:firstLine="0"/>
              <w:jc w:val="left"/>
            </w:pPr>
            <w:r>
              <w:rPr>
                <w:rFonts w:ascii="Times New Roman" w:hAnsi="Times New Roman" w:eastAsia="宋体" w:cs="Times New Roman"/>
                <w:sz w:val="21"/>
                <w:szCs w:val="21"/>
                <w:i/>
                <w:iCs/>
              </w:rPr>
              <w:t>r</w:t>
            </w:r>
            <w:r>
              <w:rPr>
                <w:rFonts w:ascii="Times New Roman" w:hAnsi="Times New Roman" w:eastAsia="宋体" w:cs="Times New Roman"/>
                <w:sz w:val="21"/>
                <w:szCs w:val="21"/>
              </w:rPr>
              <w:t>=0.75</w:t>
            </w:r>
          </w:p>
        </w:tc>
        <w:tc>
          <w:tcPr>
            <w:tcW w:w="1800" w:type="dxa"/>
            <w:tcBorders>
              <w:top w:val="nil"/>
              <w:left w:val="nil"/>
              <w:bottom w:val="single" w:sz="12" w:space="0" w:color="000000"/>
              <w:right w:val="nil"/>
            </w:tcBorders>
            <w:tcMar>
              <w:top w:w="55" w:type="dxa"/>
              <w:left w:w="70" w:type="dxa"/>
              <w:bottom w:w="55" w:type="dxa"/>
              <w:right w:w="70" w:type="dxa"/>
            </w:tcMar>
            <w:vAlign w:val="center"/>
            <w:hideMark/>
          </w:tcPr>
          <w:p w14:paraId="2580D1B5" w14:textId="77777777" w:rsidR="00B14FA3" w:rsidRPr="00B14FA3" w:rsidRDefault="00B14FA3" w:rsidP="00B14FA3">
            <w:pPr>
              <w:ind w:firstLine="0"/>
              <w:jc w:val="center"/>
            </w:pPr>
            <w:r w:rsidRPr="00B14FA3">
              <w:rPr>
                <w:rFonts w:eastAsia="宋体"/>
                <w:color w:val="000000"/>
                <w:sz w:val="21"/>
                <w:szCs w:val="21"/>
              </w:rPr>
              <w:t>自适应</w:t>
            </w:r>
          </w:p>
        </w:tc>
        <w:tc>
          <w:tcPr>
            <w:tcW w:w="2952" w:type="dxa"/>
            <w:tcBorders>
              <w:top w:val="nil"/>
              <w:left w:val="nil"/>
              <w:bottom w:val="single" w:sz="12" w:space="0" w:color="000000"/>
              <w:right w:val="nil"/>
            </w:tcBorders>
            <w:tcMar>
              <w:top w:w="55" w:type="dxa"/>
              <w:left w:w="70" w:type="dxa"/>
              <w:bottom w:w="55" w:type="dxa"/>
              <w:right w:w="70" w:type="dxa"/>
            </w:tcMar>
            <w:vAlign w:val="center"/>
            <w:hideMark/>
          </w:tcPr>
          <w:p w14:paraId="59F9D80E" w14:textId="77777777" w:rsidR="00B14FA3" w:rsidRPr="00B14FA3" w:rsidRDefault="00B14FA3" w:rsidP="00B14FA3">
            <w:pPr>
              <w:ind w:firstLine="0"/>
              <w:jc w:val="center"/>
            </w:pPr>
            <w:r w:rsidRPr="00B14FA3">
              <w:rPr>
                <w:rFonts w:eastAsia="宋体"/>
                <w:color w:val="000000"/>
                <w:sz w:val="21"/>
                <w:szCs w:val="21"/>
              </w:rPr>
              <w:t>0.189447±0.005119</w:t>
            </w:r>
          </w:p>
        </w:tc>
        <w:tc>
          <w:tcPr>
            <w:tcW w:w="2952" w:type="dxa"/>
            <w:tcBorders>
              <w:top w:val="nil"/>
              <w:left w:val="nil"/>
              <w:bottom w:val="single" w:sz="12" w:space="0" w:color="000000"/>
              <w:right w:val="nil"/>
            </w:tcBorders>
            <w:tcMar>
              <w:top w:w="55" w:type="dxa"/>
              <w:left w:w="70" w:type="dxa"/>
              <w:bottom w:w="55" w:type="dxa"/>
              <w:right w:w="70" w:type="dxa"/>
            </w:tcMar>
            <w:vAlign w:val="center"/>
            <w:hideMark/>
          </w:tcPr>
          <w:p w14:paraId="60E27FFA" w14:textId="77777777" w:rsidR="00B14FA3" w:rsidRPr="00B14FA3" w:rsidRDefault="00B14FA3" w:rsidP="00B14FA3">
            <w:pPr>
              <w:ind w:firstLine="0"/>
              <w:jc w:val="center"/>
            </w:pPr>
            <w:r w:rsidRPr="00B14FA3">
              <w:rPr>
                <w:rFonts w:eastAsia="宋体"/>
                <w:color w:val="000000"/>
                <w:sz w:val="21"/>
                <w:szCs w:val="21"/>
              </w:rPr>
              <w:t>0.170543±0.000729</w:t>
            </w:r>
          </w:p>
        </w:tc>
      </w:tr>
    </w:tbl>
    <w:p w14:paraId="03A8B53C" w14:textId="77777777" w:rsidR="00B14FA3" w:rsidRPr="00B14FA3" w:rsidRDefault="00B14FA3" w:rsidP="00B14FA3"/>
    <w:p w14:paraId="7A3D835A" w14:textId="77777777" w:rsidR="00B14FA3" w:rsidRPr="00B14FA3" w:rsidRDefault="00B14FA3" w:rsidP="00B14FA3">
      <w:pPr>
        <w:keepNext/>
        <w:spacing w:before="60"/>
        <w:ind w:firstLine="0"/>
        <w:jc w:val="center"/>
      </w:pPr>
      <w:r w:rsidRPr="00B14FA3">
        <w:rPr>
          <w:noProof/>
        </w:rPr>
        <w:drawing>
          <wp:inline distT="0" distB="0" distL="0" distR="0" wp14:anchorId="7F717F3E" wp14:editId="402B5CF1">
            <wp:extent cx="5762625" cy="254942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2549423"/>
                    </a:xfrm>
                    <a:prstGeom prst="rect">
                      <a:avLst/>
                    </a:prstGeom>
                    <a:noFill/>
                    <a:ln>
                      <a:noFill/>
                    </a:ln>
                  </pic:spPr>
                </pic:pic>
              </a:graphicData>
            </a:graphic>
          </wp:inline>
        </w:drawing>
      </w:r>
    </w:p>
    <w:p w14:paraId="24E51B9E"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3 </w:t>
      </w:r>
      <w:r w:rsidRPr="00B14FA3">
        <w:rPr>
          <w:rFonts w:eastAsia="黑体"/>
          <w:b/>
          <w:color w:val="000000"/>
          <w:sz w:val="18"/>
        </w:rPr>
        <w:t>自适应权重消融结果</w:t>
      </w:r>
    </w:p>
    <w:p w14:paraId="0461430F" w14:textId="77777777" w:rsidR="00B14FA3" w:rsidRPr="00B14FA3" w:rsidRDefault="00B14FA3" w:rsidP="00B14FA3">
      <w:r>
        <w:rPr>
          <w:rFonts w:ascii="Times New Roman" w:hAnsi="Times New Roman" w:eastAsia="宋体" w:cs="Times New Roman"/>
          <w:sz w:val="21"/>
          <w:szCs w:val="21"/>
        </w:rPr>
        <w:t>加入频域门控后，自适应权重仍表现出较低的平均误差。</w:t>
      </w:r>
      <w:r>
        <w:rPr>
          <w:rFonts w:ascii="Times New Roman" w:hAnsi="Times New Roman" w:eastAsia="宋体" w:cs="Times New Roman"/>
          <w:sz w:val="21"/>
          <w:szCs w:val="21"/>
          <w:i/>
          <w:iCs/>
        </w:rPr>
        <w:t>r</w:t>
      </w:r>
      <w:r>
        <w:rPr>
          <w:rFonts w:ascii="Times New Roman" w:hAnsi="Times New Roman" w:eastAsia="宋体" w:cs="Times New Roman"/>
          <w:sz w:val="21"/>
          <w:szCs w:val="21"/>
        </w:rPr>
        <w:t>=0.50时，自适应权重相对固定等权的MSE降低3.97%，但配对差95% CI为[-0.001193, 0.017096]，Holm校正后</w:t>
      </w:r>
      <w:r>
        <w:rPr>
          <w:rFonts w:ascii="Times New Roman" w:hAnsi="Times New Roman" w:eastAsia="宋体" w:cs="Times New Roman"/>
          <w:sz w:val="21"/>
          <w:szCs w:val="21"/>
          <w:i/>
          <w:iCs/>
        </w:rPr>
        <w:t>p</w:t>
      </w:r>
      <w:r>
        <w:rPr>
          <w:rFonts w:ascii="Times New Roman" w:hAnsi="Times New Roman" w:eastAsia="宋体" w:cs="Times New Roman"/>
          <w:sz w:val="21"/>
          <w:szCs w:val="21"/>
        </w:rPr>
        <w:t>=0.06460；在探索性</w:t>
      </w:r>
      <w:r>
        <w:rPr>
          <w:rFonts w:ascii="Times New Roman" w:hAnsi="Times New Roman" w:eastAsia="宋体" w:cs="Times New Roman"/>
          <w:sz w:val="21"/>
          <w:szCs w:val="21"/>
          <w:i/>
          <w:iCs/>
        </w:rPr>
        <w:t>r</w:t>
      </w:r>
      <w:r>
        <w:rPr>
          <w:rFonts w:ascii="Times New Roman" w:hAnsi="Times New Roman" w:eastAsia="宋体" w:cs="Times New Roman"/>
          <w:sz w:val="21"/>
          <w:szCs w:val="21"/>
        </w:rPr>
        <w:t>=0.75设置下，MSE和MAE分别降低3.74%和11.51%，配对差95% CI为[-0.001770, 0.016493]，</w:t>
      </w:r>
      <w:r>
        <w:rPr>
          <w:rFonts w:ascii="Times New Roman" w:hAnsi="Times New Roman" w:eastAsia="宋体" w:cs="Times New Roman"/>
          <w:sz w:val="21"/>
          <w:szCs w:val="21"/>
          <w:i/>
          <w:iCs/>
        </w:rPr>
        <w:t>t</w:t>
      </w:r>
      <w:r>
        <w:rPr>
          <w:rFonts w:ascii="Times New Roman" w:hAnsi="Times New Roman" w:eastAsia="宋体" w:cs="Times New Roman"/>
          <w:sz w:val="21"/>
          <w:szCs w:val="21"/>
        </w:rPr>
        <w:t>(2)=3.469，</w:t>
      </w:r>
      <w:r>
        <w:rPr>
          <w:rFonts w:ascii="Times New Roman" w:hAnsi="Times New Roman" w:eastAsia="宋体" w:cs="Times New Roman"/>
          <w:sz w:val="21"/>
          <w:szCs w:val="21"/>
          <w:i/>
          <w:iCs/>
        </w:rPr>
        <w:t>p</w:t>
      </w:r>
      <w:r>
        <w:rPr>
          <w:rFonts w:ascii="Times New Roman" w:hAnsi="Times New Roman" w:eastAsia="宋体" w:cs="Times New Roman"/>
          <w:sz w:val="21"/>
          <w:szCs w:val="21"/>
        </w:rPr>
        <w:t xml:space="preserve">=0.07401，Cohen's </w:t>
      </w:r>
      <w:r>
        <w:rPr>
          <w:rFonts w:ascii="Times New Roman" w:hAnsi="Times New Roman" w:eastAsia="宋体" w:cs="Times New Roman"/>
          <w:sz w:val="21"/>
          <w:szCs w:val="21"/>
          <w:i/>
          <w:iCs/>
        </w:rPr>
        <w:t>d</w:t>
      </w:r>
      <w:r>
        <w:rPr>
          <w:rFonts w:ascii="Times New Roman" w:hAnsi="Times New Roman" w:eastAsia="宋体" w:cs="Times New Roman"/>
          <w:sz w:val="21"/>
          <w:szCs w:val="21"/>
          <w:vertAlign w:val="subscript"/>
        </w:rPr>
        <w:t>z</w:t>
      </w:r>
      <w:r>
        <w:rPr>
          <w:rFonts w:ascii="Times New Roman" w:hAnsi="Times New Roman" w:eastAsia="宋体" w:cs="Times New Roman"/>
          <w:sz w:val="21"/>
          <w:szCs w:val="21"/>
        </w:rPr>
        <w:t>=2.003。由于两组频域设置下的置信区间均跨越0，因此只能将其视为与无频域结果方向一致的改善趋势，而不能作为显著性结论。路由权重在不同测试窗口中的变化及总体分布见图4。</w:t>
      </w:r>
    </w:p>
    <w:p w14:paraId="225654F1" w14:textId="77777777" w:rsidR="00B14FA3" w:rsidRPr="00B14FA3" w:rsidRDefault="00B14FA3" w:rsidP="00B14FA3">
      <w:pPr>
        <w:keepNext/>
        <w:spacing w:before="60"/>
        <w:ind w:firstLine="0"/>
        <w:jc w:val="center"/>
      </w:pPr>
      <w:r w:rsidRPr="00B14FA3">
        <w:rPr>
          <w:noProof/>
        </w:rPr>
        <w:lastRenderedPageBreak/>
        <w:drawing>
          <wp:inline distT="0" distB="0" distL="0" distR="0" wp14:anchorId="5A996749" wp14:editId="4A1C3E46">
            <wp:extent cx="5762625" cy="2338028"/>
            <wp:effectExtent l="0" t="0" r="9525"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2338028"/>
                    </a:xfrm>
                    <a:prstGeom prst="rect">
                      <a:avLst/>
                    </a:prstGeom>
                    <a:noFill/>
                    <a:ln>
                      <a:noFill/>
                    </a:ln>
                  </pic:spPr>
                </pic:pic>
              </a:graphicData>
            </a:graphic>
          </wp:inline>
        </w:drawing>
      </w:r>
    </w:p>
    <w:p w14:paraId="650567C2"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4 </w:t>
      </w:r>
      <w:r w:rsidRPr="00B14FA3">
        <w:rPr>
          <w:rFonts w:eastAsia="黑体"/>
          <w:b/>
          <w:color w:val="000000"/>
          <w:sz w:val="18"/>
        </w:rPr>
        <w:t>路由权重分布</w:t>
      </w:r>
    </w:p>
    <w:p w14:paraId="1B6A5EE3" w14:textId="77777777" w:rsidR="00B14FA3" w:rsidRPr="00B14FA3" w:rsidRDefault="00B14FA3" w:rsidP="00B14FA3">
      <w:r w:rsidRPr="00B14FA3">
        <w:t>图4显示三个尺度的路由权重并未固定在1/3附近，而是随测试窗口发生变化，说明路由器没有退化为固定平均融合。与此同时，不同随机种子的平均尺度偏好并不完全一致，因此现有结果只能说明路由器能够依据输入状态动态调整尺度组合，不能进一步将某一尺度解释为所有场景下持续占优的固定业务尺度。结合固定等权消融可以看出，本文路由机制的主要作用是根据窗口统计状态改变不同尺度专家的组合比例，从而减弱固定融合对不同流量状态适应性的限制。</w:t>
      </w:r>
      <w:r w:rsidRPr="00B14FA3">
        <w:t/>
      </w:r>
      <w:r w:rsidRPr="00B14FA3">
        <w:t/>
      </w:r>
      <w:r w:rsidRPr="00B14FA3">
        <w:t/>
      </w:r>
      <w:r w:rsidRPr="00B14FA3">
        <w:t/>
      </w:r>
      <w:r w:rsidRPr="00B14FA3">
        <w:t/>
      </w:r>
      <w:r w:rsidRPr="00B14FA3">
        <w:t/>
      </w:r>
      <w:r w:rsidRPr="00B14FA3">
        <w:t/>
      </w:r>
      <w:r w:rsidRPr="00B14FA3">
        <w:t/>
      </w:r>
    </w:p>
    <w:p w14:paraId="5AC6E30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Cs w:val="21"/>
          <w:sz w:val="21"/>
        </w:rPr>
        <w:t xml:space="preserve">2.4 频率保留比例敏感性</w:t>
      </w:r>
      <w:r w:rsidRPr="00B14FA3">
        <w:rPr>
          <w:rFonts w:ascii="Arial" w:eastAsia="黑体" w:hAnsi="Arial"/>
          <w:b/>
          <w:bCs/>
          <w:color w:val="000000"/>
          <w:szCs w:val="32"/>
        </w:rPr>
        <w:t/>
      </w:r>
    </w:p>
    <w:p w14:paraId="1B00AF6E" w14:textId="77777777" w:rsidR="00B14FA3" w:rsidRPr="00B14FA3" w:rsidRDefault="00B14FA3" w:rsidP="00B14FA3">
      <w:r w:rsidRPr="00B14FA3">
        <w:rPr/>
        <w:t>表3给出</w:t>
      </w:r>
      <w:r w:rsidRPr="00B14FA3">
        <w:rPr>
          <w:i/>
          <w:iCs/>
        </w:rPr>
        <w:t>r</w:t>
      </w:r>
      <w:r w:rsidRPr="00B14FA3">
        <w:rPr/>
        <w:t>∈{0.25,0.50,0.75}时的频率保留比例敏感性结果。对DLinear+频域门控和频域门控+自适应多尺度两类模型，随着r由0.25增至0.75，平均MSE均持续下降，表明过强的低频截断会削弱预测性能。该现象与高频部分可能包含有效变化信息的认识一致[5]，但当前实验未直接定位具体有效频带，因此这一解释仅用于说明结果趋势。不同随机种子下的变化轨迹见图5。</w:t>
      </w:r>
      <w:r w:rsidRPr="00B14FA3">
        <w:t/>
      </w:r>
      <w:r w:rsidRPr="00B14FA3">
        <w:t/>
      </w:r>
      <w:r w:rsidRPr="00B14FA3">
        <w:t/>
      </w:r>
      <w:r w:rsidRPr="00B14FA3">
        <w:rPr>
          <w:rFonts w:ascii="Cambria Math" w:hAnsi="Cambria Math" w:cs="Cambria Math"/>
        </w:rPr>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p>
    <w:p w14:paraId="0456DCAA" w14:textId="77777777" w:rsidR="00B14FA3" w:rsidRPr="00B14FA3" w:rsidRDefault="00B14FA3" w:rsidP="00B14FA3">
      <w:pPr>
        <w:keepNext/>
        <w:spacing w:before="60" w:after="40"/>
        <w:ind w:firstLine="0"/>
        <w:jc w:val="center"/>
      </w:pPr>
      <w:r w:rsidRPr="00B14FA3">
        <w:rPr>
          <w:rFonts w:eastAsia="黑体"/>
          <w:b/>
          <w:color w:val="000000"/>
          <w:sz w:val="18"/>
        </w:rPr>
        <w:t>表</w:t>
      </w:r>
      <w:r w:rsidRPr="00B14FA3">
        <w:rPr>
          <w:rFonts w:eastAsia="黑体"/>
          <w:b/>
          <w:color w:val="000000"/>
          <w:sz w:val="18"/>
        </w:rPr>
        <w:t xml:space="preserve">3 </w:t>
      </w:r>
      <w:r w:rsidRPr="00B14FA3">
        <w:rPr>
          <w:rFonts w:eastAsia="黑体"/>
          <w:b/>
          <w:color w:val="000000"/>
          <w:sz w:val="18"/>
        </w:rPr>
        <w:t>频率保留比例敏感性</w:t>
      </w:r>
    </w:p>
    <w:tbl>
      <w:tblPr>
        <w:tblW w:w="0" w:type="auto"/>
        <w:jc w:val="center"/>
        <w:tblBorders>
          <w:insideH w:val="nil"/>
          <w:insideV w:val="nil"/>
        </w:tblBorders>
        <w:tblLayout w:type="fixed"/>
        <w:tblLook w:val="04A0" w:firstRow="1" w:lastRow="0" w:firstColumn="1" w:lastColumn="0" w:noHBand="0" w:noVBand="1"/>
      </w:tblPr>
      <w:tblGrid>
        <w:gridCol w:w="3456"/>
        <w:gridCol w:w="864"/>
        <w:gridCol w:w="2592"/>
        <w:gridCol w:w="2592"/>
      </w:tblGrid>
      <w:tr w:rsidR="00B14FA3" w:rsidRPr="00B14FA3" w14:paraId="2C67AFF3" w14:textId="77777777">
        <w:trPr>
          <w:cantSplit/>
          <w:tblHeader/>
          <w:jc w:val="center"/>
        </w:trPr>
        <w:tc>
          <w:tcPr>
            <w:tcW w:w="3456"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135C2719" w14:textId="77777777" w:rsidR="00B14FA3" w:rsidRPr="00B14FA3" w:rsidRDefault="00B14FA3" w:rsidP="00B14FA3">
            <w:pPr>
              <w:keepNext/>
              <w:ind w:firstLine="0"/>
              <w:jc w:val="center"/>
            </w:pPr>
            <w:r w:rsidRPr="00B14FA3">
              <w:rPr>
                <w:rFonts w:eastAsia="宋体"/>
                <w:b/>
                <w:color w:val="000000"/>
                <w:sz w:val="21"/>
                <w:szCs w:val="21"/>
              </w:rPr>
              <w:t>模型</w:t>
            </w:r>
          </w:p>
        </w:tc>
        <w:tc>
          <w:tcPr>
            <w:tcW w:w="864"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5154AC8B" w14:textId="77777777" w:rsidR="00B14FA3" w:rsidRPr="00B14FA3" w:rsidRDefault="00B14FA3" w:rsidP="00B14FA3">
            <w:pPr>
              <w:keepNext/>
              <w:ind w:firstLine="0"/>
              <w:jc w:val="center"/>
            </w:pPr>
            <w:r w:rsidRPr="00B14FA3">
              <w:rPr>
                <w:rFonts w:eastAsia="宋体"/>
                <w:b/>
                <w:color w:val="000000"/>
                <w:sz w:val="21"/>
                <w:szCs w:val="21"/>
                <w:i/>
                <w:iCs/>
              </w:rPr>
              <w:t>r</w:t>
            </w:r>
          </w:p>
        </w:tc>
        <w:tc>
          <w:tcPr>
            <w:tcW w:w="2592"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386C2EC2" w14:textId="77777777" w:rsidR="00B14FA3" w:rsidRPr="00B14FA3" w:rsidRDefault="00B14FA3" w:rsidP="00B14FA3">
            <w:pPr>
              <w:keepNext/>
              <w:ind w:firstLine="0"/>
              <w:jc w:val="center"/>
            </w:pPr>
            <w:r w:rsidRPr="00B14FA3">
              <w:rPr>
                <w:rFonts w:eastAsia="宋体"/>
                <w:b/>
                <w:color w:val="000000"/>
                <w:sz w:val="21"/>
                <w:szCs w:val="21"/>
              </w:rPr>
              <w:t>MSE</w:t>
            </w:r>
          </w:p>
        </w:tc>
        <w:tc>
          <w:tcPr>
            <w:tcW w:w="2592"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294A8F49" w14:textId="77777777" w:rsidR="00B14FA3" w:rsidRPr="00B14FA3" w:rsidRDefault="00B14FA3" w:rsidP="00B14FA3">
            <w:pPr>
              <w:keepNext/>
              <w:ind w:firstLine="0"/>
              <w:jc w:val="center"/>
            </w:pPr>
            <w:r w:rsidRPr="00B14FA3">
              <w:rPr>
                <w:rFonts w:eastAsia="宋体"/>
                <w:b/>
                <w:color w:val="000000"/>
                <w:sz w:val="21"/>
                <w:szCs w:val="21"/>
              </w:rPr>
              <w:t>MAE</w:t>
            </w:r>
          </w:p>
        </w:tc>
      </w:tr>
      <w:tr w:rsidR="00B14FA3" w:rsidRPr="00B14FA3" w14:paraId="197D0AED"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20D5BB3F" w14:textId="77777777" w:rsidR="00B14FA3" w:rsidRPr="00B14FA3" w:rsidRDefault="00B14FA3" w:rsidP="00B14FA3">
            <w:pPr>
              <w:keepNext/>
              <w:ind w:firstLine="0"/>
              <w:jc w:val="left"/>
            </w:pPr>
            <w:r w:rsidRPr="00B14FA3">
              <w:rPr>
                <w:rFonts w:eastAsia="宋体"/>
                <w:color w:val="000000"/>
                <w:sz w:val="21"/>
                <w:szCs w:val="21"/>
              </w:rPr>
              <w:t>DLinear+</w:t>
            </w:r>
            <w:r w:rsidRPr="00B14FA3">
              <w:rPr>
                <w:rFonts w:eastAsia="宋体"/>
                <w:color w:val="000000"/>
                <w:sz w:val="21"/>
                <w:szCs w:val="21"/>
              </w:rPr>
              <w:t>频域门控</w:t>
            </w:r>
          </w:p>
        </w:tc>
        <w:tc>
          <w:tcPr>
            <w:tcW w:w="864" w:type="dxa"/>
            <w:tcBorders>
              <w:top w:val="nil"/>
              <w:left w:val="nil"/>
              <w:bottom w:val="nil"/>
              <w:right w:val="nil"/>
            </w:tcBorders>
            <w:tcMar>
              <w:top w:w="55" w:type="dxa"/>
              <w:left w:w="70" w:type="dxa"/>
              <w:bottom w:w="55" w:type="dxa"/>
              <w:right w:w="70" w:type="dxa"/>
            </w:tcMar>
            <w:vAlign w:val="center"/>
            <w:hideMark/>
          </w:tcPr>
          <w:p w14:paraId="427D1BAE" w14:textId="77777777" w:rsidR="00B14FA3" w:rsidRPr="00B14FA3" w:rsidRDefault="00B14FA3" w:rsidP="00B14FA3">
            <w:pPr>
              <w:keepNext/>
              <w:ind w:firstLine="0"/>
              <w:jc w:val="center"/>
            </w:pPr>
            <w:r w:rsidRPr="00B14FA3">
              <w:rPr>
                <w:rFonts w:eastAsia="宋体"/>
                <w:color w:val="000000"/>
                <w:sz w:val="21"/>
                <w:szCs w:val="21"/>
              </w:rPr>
              <w:t>0.25</w:t>
            </w:r>
          </w:p>
        </w:tc>
        <w:tc>
          <w:tcPr>
            <w:tcW w:w="2592" w:type="dxa"/>
            <w:tcBorders>
              <w:top w:val="nil"/>
              <w:left w:val="nil"/>
              <w:bottom w:val="nil"/>
              <w:right w:val="nil"/>
            </w:tcBorders>
            <w:tcMar>
              <w:top w:w="55" w:type="dxa"/>
              <w:left w:w="70" w:type="dxa"/>
              <w:bottom w:w="55" w:type="dxa"/>
              <w:right w:w="70" w:type="dxa"/>
            </w:tcMar>
            <w:vAlign w:val="center"/>
            <w:hideMark/>
          </w:tcPr>
          <w:p w14:paraId="549BBA1A" w14:textId="77777777" w:rsidR="00B14FA3" w:rsidRPr="00B14FA3" w:rsidRDefault="00B14FA3" w:rsidP="00B14FA3">
            <w:pPr>
              <w:keepNext/>
              <w:ind w:firstLine="0"/>
              <w:jc w:val="center"/>
            </w:pPr>
            <w:r w:rsidRPr="00B14FA3">
              <w:rPr>
                <w:rFonts w:eastAsia="宋体"/>
                <w:color w:val="000000"/>
                <w:sz w:val="21"/>
                <w:szCs w:val="21"/>
              </w:rPr>
              <w:t>0.200367±0.002349</w:t>
            </w:r>
          </w:p>
        </w:tc>
        <w:tc>
          <w:tcPr>
            <w:tcW w:w="2592" w:type="dxa"/>
            <w:tcBorders>
              <w:top w:val="nil"/>
              <w:left w:val="nil"/>
              <w:bottom w:val="nil"/>
              <w:right w:val="nil"/>
            </w:tcBorders>
            <w:tcMar>
              <w:top w:w="55" w:type="dxa"/>
              <w:left w:w="70" w:type="dxa"/>
              <w:bottom w:w="55" w:type="dxa"/>
              <w:right w:w="70" w:type="dxa"/>
            </w:tcMar>
            <w:vAlign w:val="center"/>
            <w:hideMark/>
          </w:tcPr>
          <w:p w14:paraId="753F53C1" w14:textId="77777777" w:rsidR="00B14FA3" w:rsidRPr="00B14FA3" w:rsidRDefault="00B14FA3" w:rsidP="00B14FA3">
            <w:pPr>
              <w:keepNext/>
              <w:ind w:firstLine="0"/>
              <w:jc w:val="center"/>
            </w:pPr>
            <w:r w:rsidRPr="00B14FA3">
              <w:rPr>
                <w:rFonts w:eastAsia="宋体"/>
                <w:color w:val="000000"/>
                <w:sz w:val="21"/>
                <w:szCs w:val="21"/>
              </w:rPr>
              <w:t>0.193320±0.005065</w:t>
            </w:r>
          </w:p>
        </w:tc>
      </w:tr>
      <w:tr w:rsidR="00B14FA3" w:rsidRPr="00B14FA3" w14:paraId="38D7987E"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6D18EAA8" w14:textId="77777777" w:rsidR="00B14FA3" w:rsidRPr="00B14FA3" w:rsidRDefault="00B14FA3" w:rsidP="00B14FA3">
            <w:pPr>
              <w:keepNext/>
              <w:ind w:firstLine="0"/>
              <w:jc w:val="left"/>
            </w:pPr>
            <w:r w:rsidRPr="00B14FA3">
              <w:rPr>
                <w:rFonts w:eastAsia="宋体"/>
                <w:color w:val="000000"/>
                <w:sz w:val="21"/>
                <w:szCs w:val="21"/>
              </w:rPr>
              <w:t>DLinear+</w:t>
            </w:r>
            <w:r w:rsidRPr="00B14FA3">
              <w:rPr>
                <w:rFonts w:eastAsia="宋体"/>
                <w:color w:val="000000"/>
                <w:sz w:val="21"/>
                <w:szCs w:val="21"/>
              </w:rPr>
              <w:t>频域门控</w:t>
            </w:r>
          </w:p>
        </w:tc>
        <w:tc>
          <w:tcPr>
            <w:tcW w:w="864" w:type="dxa"/>
            <w:tcBorders>
              <w:top w:val="nil"/>
              <w:left w:val="nil"/>
              <w:bottom w:val="nil"/>
              <w:right w:val="nil"/>
            </w:tcBorders>
            <w:tcMar>
              <w:top w:w="55" w:type="dxa"/>
              <w:left w:w="70" w:type="dxa"/>
              <w:bottom w:w="55" w:type="dxa"/>
              <w:right w:w="70" w:type="dxa"/>
            </w:tcMar>
            <w:vAlign w:val="center"/>
            <w:hideMark/>
          </w:tcPr>
          <w:p w14:paraId="6FEF1096" w14:textId="77777777" w:rsidR="00B14FA3" w:rsidRPr="00B14FA3" w:rsidRDefault="00B14FA3" w:rsidP="00B14FA3">
            <w:pPr>
              <w:keepNext/>
              <w:ind w:firstLine="0"/>
              <w:jc w:val="center"/>
            </w:pPr>
            <w:r w:rsidRPr="00B14FA3">
              <w:rPr>
                <w:rFonts w:eastAsia="宋体"/>
                <w:color w:val="000000"/>
                <w:sz w:val="21"/>
                <w:szCs w:val="21"/>
              </w:rPr>
              <w:t>0.50</w:t>
            </w:r>
          </w:p>
        </w:tc>
        <w:tc>
          <w:tcPr>
            <w:tcW w:w="2592" w:type="dxa"/>
            <w:tcBorders>
              <w:top w:val="nil"/>
              <w:left w:val="nil"/>
              <w:bottom w:val="nil"/>
              <w:right w:val="nil"/>
            </w:tcBorders>
            <w:tcMar>
              <w:top w:w="55" w:type="dxa"/>
              <w:left w:w="70" w:type="dxa"/>
              <w:bottom w:w="55" w:type="dxa"/>
              <w:right w:w="70" w:type="dxa"/>
            </w:tcMar>
            <w:vAlign w:val="center"/>
            <w:hideMark/>
          </w:tcPr>
          <w:p w14:paraId="415C3783" w14:textId="77777777" w:rsidR="00B14FA3" w:rsidRPr="00B14FA3" w:rsidRDefault="00B14FA3" w:rsidP="00B14FA3">
            <w:pPr>
              <w:keepNext/>
              <w:ind w:firstLine="0"/>
              <w:jc w:val="center"/>
            </w:pPr>
            <w:r w:rsidRPr="00B14FA3">
              <w:rPr>
                <w:rFonts w:eastAsia="宋体"/>
                <w:color w:val="000000"/>
                <w:sz w:val="21"/>
                <w:szCs w:val="21"/>
              </w:rPr>
              <w:t>0.197181±0.000655</w:t>
            </w:r>
          </w:p>
        </w:tc>
        <w:tc>
          <w:tcPr>
            <w:tcW w:w="2592" w:type="dxa"/>
            <w:tcBorders>
              <w:top w:val="nil"/>
              <w:left w:val="nil"/>
              <w:bottom w:val="nil"/>
              <w:right w:val="nil"/>
            </w:tcBorders>
            <w:tcMar>
              <w:top w:w="55" w:type="dxa"/>
              <w:left w:w="70" w:type="dxa"/>
              <w:bottom w:w="55" w:type="dxa"/>
              <w:right w:w="70" w:type="dxa"/>
            </w:tcMar>
            <w:vAlign w:val="center"/>
            <w:hideMark/>
          </w:tcPr>
          <w:p w14:paraId="09CA8186" w14:textId="77777777" w:rsidR="00B14FA3" w:rsidRPr="00B14FA3" w:rsidRDefault="00B14FA3" w:rsidP="00B14FA3">
            <w:pPr>
              <w:keepNext/>
              <w:ind w:firstLine="0"/>
              <w:jc w:val="center"/>
            </w:pPr>
            <w:r w:rsidRPr="00B14FA3">
              <w:rPr>
                <w:rFonts w:eastAsia="宋体"/>
                <w:color w:val="000000"/>
                <w:sz w:val="21"/>
                <w:szCs w:val="21"/>
              </w:rPr>
              <w:t>0.191756±0.007712</w:t>
            </w:r>
          </w:p>
        </w:tc>
      </w:tr>
      <w:tr w:rsidR="00B14FA3" w:rsidRPr="00B14FA3" w14:paraId="77F70FD8"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4201F70F" w14:textId="77777777" w:rsidR="00B14FA3" w:rsidRPr="00B14FA3" w:rsidRDefault="00B14FA3" w:rsidP="00B14FA3">
            <w:pPr>
              <w:keepNext/>
              <w:ind w:firstLine="0"/>
              <w:jc w:val="left"/>
            </w:pPr>
            <w:r w:rsidRPr="00B14FA3">
              <w:rPr>
                <w:rFonts w:eastAsia="宋体"/>
                <w:color w:val="000000"/>
                <w:sz w:val="21"/>
                <w:szCs w:val="21"/>
              </w:rPr>
              <w:t>DLinear+</w:t>
            </w:r>
            <w:r w:rsidRPr="00B14FA3">
              <w:rPr>
                <w:rFonts w:eastAsia="宋体"/>
                <w:color w:val="000000"/>
                <w:sz w:val="21"/>
                <w:szCs w:val="21"/>
              </w:rPr>
              <w:t>频域门控</w:t>
            </w:r>
          </w:p>
        </w:tc>
        <w:tc>
          <w:tcPr>
            <w:tcW w:w="864" w:type="dxa"/>
            <w:tcBorders>
              <w:top w:val="nil"/>
              <w:left w:val="nil"/>
              <w:bottom w:val="nil"/>
              <w:right w:val="nil"/>
            </w:tcBorders>
            <w:tcMar>
              <w:top w:w="55" w:type="dxa"/>
              <w:left w:w="70" w:type="dxa"/>
              <w:bottom w:w="55" w:type="dxa"/>
              <w:right w:w="70" w:type="dxa"/>
            </w:tcMar>
            <w:vAlign w:val="center"/>
            <w:hideMark/>
          </w:tcPr>
          <w:p w14:paraId="606FD9C2" w14:textId="77777777" w:rsidR="00B14FA3" w:rsidRPr="00B14FA3" w:rsidRDefault="00B14FA3" w:rsidP="00B14FA3">
            <w:pPr>
              <w:keepNext/>
              <w:ind w:firstLine="0"/>
              <w:jc w:val="center"/>
            </w:pPr>
            <w:r w:rsidRPr="00B14FA3">
              <w:rPr>
                <w:rFonts w:eastAsia="宋体"/>
                <w:color w:val="000000"/>
                <w:sz w:val="21"/>
                <w:szCs w:val="21"/>
              </w:rPr>
              <w:t>0.75</w:t>
            </w:r>
          </w:p>
        </w:tc>
        <w:tc>
          <w:tcPr>
            <w:tcW w:w="2592" w:type="dxa"/>
            <w:tcBorders>
              <w:top w:val="nil"/>
              <w:left w:val="nil"/>
              <w:bottom w:val="nil"/>
              <w:right w:val="nil"/>
            </w:tcBorders>
            <w:tcMar>
              <w:top w:w="55" w:type="dxa"/>
              <w:left w:w="70" w:type="dxa"/>
              <w:bottom w:w="55" w:type="dxa"/>
              <w:right w:w="70" w:type="dxa"/>
            </w:tcMar>
            <w:vAlign w:val="center"/>
            <w:hideMark/>
          </w:tcPr>
          <w:p w14:paraId="3E01C31D" w14:textId="77777777" w:rsidR="00B14FA3" w:rsidRPr="00B14FA3" w:rsidRDefault="00B14FA3" w:rsidP="00B14FA3">
            <w:pPr>
              <w:keepNext/>
              <w:ind w:firstLine="0"/>
              <w:jc w:val="center"/>
            </w:pPr>
            <w:r w:rsidRPr="00B14FA3">
              <w:rPr>
                <w:rFonts w:eastAsia="宋体"/>
                <w:color w:val="000000"/>
                <w:sz w:val="21"/>
                <w:szCs w:val="21"/>
              </w:rPr>
              <w:t>0.195478±0.001138</w:t>
            </w:r>
          </w:p>
        </w:tc>
        <w:tc>
          <w:tcPr>
            <w:tcW w:w="2592" w:type="dxa"/>
            <w:tcBorders>
              <w:top w:val="nil"/>
              <w:left w:val="nil"/>
              <w:bottom w:val="nil"/>
              <w:right w:val="nil"/>
            </w:tcBorders>
            <w:tcMar>
              <w:top w:w="55" w:type="dxa"/>
              <w:left w:w="70" w:type="dxa"/>
              <w:bottom w:w="55" w:type="dxa"/>
              <w:right w:w="70" w:type="dxa"/>
            </w:tcMar>
            <w:vAlign w:val="center"/>
            <w:hideMark/>
          </w:tcPr>
          <w:p w14:paraId="64A70EFE" w14:textId="77777777" w:rsidR="00B14FA3" w:rsidRPr="00B14FA3" w:rsidRDefault="00B14FA3" w:rsidP="00B14FA3">
            <w:pPr>
              <w:keepNext/>
              <w:ind w:firstLine="0"/>
              <w:jc w:val="center"/>
            </w:pPr>
            <w:r w:rsidRPr="00B14FA3">
              <w:rPr>
                <w:rFonts w:eastAsia="宋体"/>
                <w:color w:val="000000"/>
                <w:sz w:val="21"/>
                <w:szCs w:val="21"/>
              </w:rPr>
              <w:t>0.190041±0.008711</w:t>
            </w:r>
          </w:p>
        </w:tc>
      </w:tr>
      <w:tr w:rsidR="00B14FA3" w:rsidRPr="00B14FA3" w14:paraId="25BAFDF3"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5C27CF0C" w14:textId="77777777" w:rsidR="00B14FA3" w:rsidRPr="00B14FA3" w:rsidRDefault="00B14FA3" w:rsidP="00B14FA3">
            <w:pPr>
              <w:keepNext/>
              <w:ind w:firstLine="0"/>
              <w:jc w:val="left"/>
            </w:pPr>
            <w:r w:rsidRPr="00B14FA3">
              <w:rPr>
                <w:rFonts w:eastAsia="宋体"/>
                <w:color w:val="000000"/>
                <w:sz w:val="21"/>
                <w:szCs w:val="21"/>
              </w:rPr>
              <w:t>频域门控</w:t>
            </w:r>
            <w:r w:rsidRPr="00B14FA3">
              <w:rPr>
                <w:rFonts w:eastAsia="宋体"/>
                <w:color w:val="000000"/>
                <w:sz w:val="21"/>
                <w:szCs w:val="21"/>
              </w:rPr>
              <w:t>+</w:t>
            </w:r>
            <w:r w:rsidRPr="00B14FA3">
              <w:rPr>
                <w:rFonts w:eastAsia="宋体"/>
                <w:color w:val="000000"/>
                <w:sz w:val="21"/>
                <w:szCs w:val="21"/>
              </w:rPr>
              <w:t>自适应多尺度</w:t>
            </w:r>
          </w:p>
        </w:tc>
        <w:tc>
          <w:tcPr>
            <w:tcW w:w="864" w:type="dxa"/>
            <w:tcBorders>
              <w:top w:val="nil"/>
              <w:left w:val="nil"/>
              <w:bottom w:val="nil"/>
              <w:right w:val="nil"/>
            </w:tcBorders>
            <w:tcMar>
              <w:top w:w="55" w:type="dxa"/>
              <w:left w:w="70" w:type="dxa"/>
              <w:bottom w:w="55" w:type="dxa"/>
              <w:right w:w="70" w:type="dxa"/>
            </w:tcMar>
            <w:vAlign w:val="center"/>
            <w:hideMark/>
          </w:tcPr>
          <w:p w14:paraId="7E3EE9AE" w14:textId="77777777" w:rsidR="00B14FA3" w:rsidRPr="00B14FA3" w:rsidRDefault="00B14FA3" w:rsidP="00B14FA3">
            <w:pPr>
              <w:keepNext/>
              <w:ind w:firstLine="0"/>
              <w:jc w:val="center"/>
            </w:pPr>
            <w:r w:rsidRPr="00B14FA3">
              <w:rPr>
                <w:rFonts w:eastAsia="宋体"/>
                <w:color w:val="000000"/>
                <w:sz w:val="21"/>
                <w:szCs w:val="21"/>
              </w:rPr>
              <w:t>0.25</w:t>
            </w:r>
          </w:p>
        </w:tc>
        <w:tc>
          <w:tcPr>
            <w:tcW w:w="2592" w:type="dxa"/>
            <w:tcBorders>
              <w:top w:val="nil"/>
              <w:left w:val="nil"/>
              <w:bottom w:val="nil"/>
              <w:right w:val="nil"/>
            </w:tcBorders>
            <w:tcMar>
              <w:top w:w="55" w:type="dxa"/>
              <w:left w:w="70" w:type="dxa"/>
              <w:bottom w:w="55" w:type="dxa"/>
              <w:right w:w="70" w:type="dxa"/>
            </w:tcMar>
            <w:vAlign w:val="center"/>
            <w:hideMark/>
          </w:tcPr>
          <w:p w14:paraId="4E97AEBF" w14:textId="77777777" w:rsidR="00B14FA3" w:rsidRPr="00B14FA3" w:rsidRDefault="00B14FA3" w:rsidP="00B14FA3">
            <w:pPr>
              <w:keepNext/>
              <w:ind w:firstLine="0"/>
              <w:jc w:val="center"/>
            </w:pPr>
            <w:r w:rsidRPr="00B14FA3">
              <w:rPr>
                <w:rFonts w:eastAsia="宋体"/>
                <w:color w:val="000000"/>
                <w:sz w:val="21"/>
                <w:szCs w:val="21"/>
              </w:rPr>
              <w:t>0.201774±0.006798</w:t>
            </w:r>
          </w:p>
        </w:tc>
        <w:tc>
          <w:tcPr>
            <w:tcW w:w="2592" w:type="dxa"/>
            <w:tcBorders>
              <w:top w:val="nil"/>
              <w:left w:val="nil"/>
              <w:bottom w:val="nil"/>
              <w:right w:val="nil"/>
            </w:tcBorders>
            <w:tcMar>
              <w:top w:w="55" w:type="dxa"/>
              <w:left w:w="70" w:type="dxa"/>
              <w:bottom w:w="55" w:type="dxa"/>
              <w:right w:w="70" w:type="dxa"/>
            </w:tcMar>
            <w:vAlign w:val="center"/>
            <w:hideMark/>
          </w:tcPr>
          <w:p w14:paraId="2C17BD04" w14:textId="77777777" w:rsidR="00B14FA3" w:rsidRPr="00B14FA3" w:rsidRDefault="00B14FA3" w:rsidP="00B14FA3">
            <w:pPr>
              <w:keepNext/>
              <w:ind w:firstLine="0"/>
              <w:jc w:val="center"/>
            </w:pPr>
            <w:r w:rsidRPr="00B14FA3">
              <w:rPr>
                <w:rFonts w:eastAsia="宋体"/>
                <w:color w:val="000000"/>
                <w:sz w:val="21"/>
                <w:szCs w:val="21"/>
              </w:rPr>
              <w:t>0.182381±0.002075</w:t>
            </w:r>
          </w:p>
        </w:tc>
      </w:tr>
      <w:tr w:rsidR="00B14FA3" w:rsidRPr="00B14FA3" w14:paraId="708E6154"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11AD0F4C" w14:textId="77777777" w:rsidR="00B14FA3" w:rsidRPr="00B14FA3" w:rsidRDefault="00B14FA3" w:rsidP="00B14FA3">
            <w:pPr>
              <w:keepNext/>
              <w:ind w:firstLine="0"/>
              <w:jc w:val="left"/>
            </w:pPr>
            <w:r w:rsidRPr="00B14FA3">
              <w:rPr>
                <w:rFonts w:eastAsia="宋体"/>
                <w:color w:val="000000"/>
                <w:sz w:val="21"/>
                <w:szCs w:val="21"/>
              </w:rPr>
              <w:t>频域门控</w:t>
            </w:r>
            <w:r w:rsidRPr="00B14FA3">
              <w:rPr>
                <w:rFonts w:eastAsia="宋体"/>
                <w:color w:val="000000"/>
                <w:sz w:val="21"/>
                <w:szCs w:val="21"/>
              </w:rPr>
              <w:t>+</w:t>
            </w:r>
            <w:r w:rsidRPr="00B14FA3">
              <w:rPr>
                <w:rFonts w:eastAsia="宋体"/>
                <w:color w:val="000000"/>
                <w:sz w:val="21"/>
                <w:szCs w:val="21"/>
              </w:rPr>
              <w:t>自适应多尺度</w:t>
            </w:r>
          </w:p>
        </w:tc>
        <w:tc>
          <w:tcPr>
            <w:tcW w:w="864" w:type="dxa"/>
            <w:tcBorders>
              <w:top w:val="nil"/>
              <w:left w:val="nil"/>
              <w:bottom w:val="nil"/>
              <w:right w:val="nil"/>
            </w:tcBorders>
            <w:tcMar>
              <w:top w:w="55" w:type="dxa"/>
              <w:left w:w="70" w:type="dxa"/>
              <w:bottom w:w="55" w:type="dxa"/>
              <w:right w:w="70" w:type="dxa"/>
            </w:tcMar>
            <w:vAlign w:val="center"/>
            <w:hideMark/>
          </w:tcPr>
          <w:p w14:paraId="37309D0B" w14:textId="77777777" w:rsidR="00B14FA3" w:rsidRPr="00B14FA3" w:rsidRDefault="00B14FA3" w:rsidP="00B14FA3">
            <w:pPr>
              <w:keepNext/>
              <w:ind w:firstLine="0"/>
              <w:jc w:val="center"/>
            </w:pPr>
            <w:r w:rsidRPr="00B14FA3">
              <w:rPr>
                <w:rFonts w:eastAsia="宋体"/>
                <w:color w:val="000000"/>
                <w:sz w:val="21"/>
                <w:szCs w:val="21"/>
              </w:rPr>
              <w:t>0.50</w:t>
            </w:r>
          </w:p>
        </w:tc>
        <w:tc>
          <w:tcPr>
            <w:tcW w:w="2592" w:type="dxa"/>
            <w:tcBorders>
              <w:top w:val="nil"/>
              <w:left w:val="nil"/>
              <w:bottom w:val="nil"/>
              <w:right w:val="nil"/>
            </w:tcBorders>
            <w:tcMar>
              <w:top w:w="55" w:type="dxa"/>
              <w:left w:w="70" w:type="dxa"/>
              <w:bottom w:w="55" w:type="dxa"/>
              <w:right w:w="70" w:type="dxa"/>
            </w:tcMar>
            <w:vAlign w:val="center"/>
            <w:hideMark/>
          </w:tcPr>
          <w:p w14:paraId="5F057EF1" w14:textId="77777777" w:rsidR="00B14FA3" w:rsidRPr="00B14FA3" w:rsidRDefault="00B14FA3" w:rsidP="00B14FA3">
            <w:pPr>
              <w:keepNext/>
              <w:ind w:firstLine="0"/>
              <w:jc w:val="center"/>
            </w:pPr>
            <w:r w:rsidRPr="00B14FA3">
              <w:rPr>
                <w:rFonts w:eastAsia="宋体"/>
                <w:color w:val="000000"/>
                <w:sz w:val="21"/>
                <w:szCs w:val="21"/>
              </w:rPr>
              <w:t>0.192432±0.005766</w:t>
            </w:r>
          </w:p>
        </w:tc>
        <w:tc>
          <w:tcPr>
            <w:tcW w:w="2592" w:type="dxa"/>
            <w:tcBorders>
              <w:top w:val="nil"/>
              <w:left w:val="nil"/>
              <w:bottom w:val="nil"/>
              <w:right w:val="nil"/>
            </w:tcBorders>
            <w:tcMar>
              <w:top w:w="55" w:type="dxa"/>
              <w:left w:w="70" w:type="dxa"/>
              <w:bottom w:w="55" w:type="dxa"/>
              <w:right w:w="70" w:type="dxa"/>
            </w:tcMar>
            <w:vAlign w:val="center"/>
            <w:hideMark/>
          </w:tcPr>
          <w:p w14:paraId="70E3DC7B" w14:textId="77777777" w:rsidR="00B14FA3" w:rsidRPr="00B14FA3" w:rsidRDefault="00B14FA3" w:rsidP="00B14FA3">
            <w:pPr>
              <w:keepNext/>
              <w:ind w:firstLine="0"/>
              <w:jc w:val="center"/>
            </w:pPr>
            <w:r w:rsidRPr="00B14FA3">
              <w:rPr>
                <w:rFonts w:eastAsia="宋体"/>
                <w:color w:val="000000"/>
                <w:sz w:val="21"/>
                <w:szCs w:val="21"/>
              </w:rPr>
              <w:t>0.173438±0.000813</w:t>
            </w:r>
          </w:p>
        </w:tc>
      </w:tr>
      <w:tr w:rsidR="00B14FA3" w:rsidRPr="00B14FA3" w14:paraId="61766EAE" w14:textId="77777777">
        <w:trPr>
          <w:cantSplit/>
          <w:jc w:val="center"/>
        </w:trPr>
        <w:tc>
          <w:tcPr>
            <w:tcW w:w="3456" w:type="dxa"/>
            <w:tcBorders>
              <w:top w:val="nil"/>
              <w:left w:val="nil"/>
              <w:bottom w:val="single" w:sz="12" w:space="0" w:color="000000"/>
              <w:right w:val="nil"/>
            </w:tcBorders>
            <w:tcMar>
              <w:top w:w="55" w:type="dxa"/>
              <w:left w:w="70" w:type="dxa"/>
              <w:bottom w:w="55" w:type="dxa"/>
              <w:right w:w="70" w:type="dxa"/>
            </w:tcMar>
            <w:vAlign w:val="center"/>
            <w:hideMark/>
          </w:tcPr>
          <w:p w14:paraId="2138BD18" w14:textId="77777777" w:rsidR="00B14FA3" w:rsidRPr="00B14FA3" w:rsidRDefault="00B14FA3" w:rsidP="00B14FA3">
            <w:pPr>
              <w:ind w:firstLine="0"/>
              <w:jc w:val="left"/>
            </w:pPr>
            <w:r w:rsidRPr="00B14FA3">
              <w:rPr>
                <w:rFonts w:eastAsia="宋体"/>
                <w:color w:val="000000"/>
                <w:sz w:val="21"/>
                <w:szCs w:val="21"/>
              </w:rPr>
              <w:t>频域门控</w:t>
            </w:r>
            <w:r w:rsidRPr="00B14FA3">
              <w:rPr>
                <w:rFonts w:eastAsia="宋体"/>
                <w:color w:val="000000"/>
                <w:sz w:val="21"/>
                <w:szCs w:val="21"/>
              </w:rPr>
              <w:t>+</w:t>
            </w:r>
            <w:r w:rsidRPr="00B14FA3">
              <w:rPr>
                <w:rFonts w:eastAsia="宋体"/>
                <w:color w:val="000000"/>
                <w:sz w:val="21"/>
                <w:szCs w:val="21"/>
              </w:rPr>
              <w:t>自适应多尺度</w:t>
            </w:r>
          </w:p>
        </w:tc>
        <w:tc>
          <w:tcPr>
            <w:tcW w:w="864" w:type="dxa"/>
            <w:tcBorders>
              <w:top w:val="nil"/>
              <w:left w:val="nil"/>
              <w:bottom w:val="single" w:sz="12" w:space="0" w:color="000000"/>
              <w:right w:val="nil"/>
            </w:tcBorders>
            <w:tcMar>
              <w:top w:w="55" w:type="dxa"/>
              <w:left w:w="70" w:type="dxa"/>
              <w:bottom w:w="55" w:type="dxa"/>
              <w:right w:w="70" w:type="dxa"/>
            </w:tcMar>
            <w:vAlign w:val="center"/>
            <w:hideMark/>
          </w:tcPr>
          <w:p w14:paraId="18BAF2A6" w14:textId="77777777" w:rsidR="00B14FA3" w:rsidRPr="00B14FA3" w:rsidRDefault="00B14FA3" w:rsidP="00B14FA3">
            <w:pPr>
              <w:ind w:firstLine="0"/>
              <w:jc w:val="center"/>
            </w:pPr>
            <w:r w:rsidRPr="00B14FA3">
              <w:rPr>
                <w:rFonts w:eastAsia="宋体"/>
                <w:color w:val="000000"/>
                <w:sz w:val="21"/>
                <w:szCs w:val="21"/>
              </w:rPr>
              <w:t>0.75</w:t>
            </w:r>
          </w:p>
        </w:tc>
        <w:tc>
          <w:tcPr>
            <w:tcW w:w="2592" w:type="dxa"/>
            <w:tcBorders>
              <w:top w:val="nil"/>
              <w:left w:val="nil"/>
              <w:bottom w:val="single" w:sz="12" w:space="0" w:color="000000"/>
              <w:right w:val="nil"/>
            </w:tcBorders>
            <w:tcMar>
              <w:top w:w="55" w:type="dxa"/>
              <w:left w:w="70" w:type="dxa"/>
              <w:bottom w:w="55" w:type="dxa"/>
              <w:right w:w="70" w:type="dxa"/>
            </w:tcMar>
            <w:vAlign w:val="center"/>
            <w:hideMark/>
          </w:tcPr>
          <w:p w14:paraId="56FB953B" w14:textId="77777777" w:rsidR="00B14FA3" w:rsidRPr="00B14FA3" w:rsidRDefault="00B14FA3" w:rsidP="00B14FA3">
            <w:pPr>
              <w:ind w:firstLine="0"/>
              <w:jc w:val="center"/>
            </w:pPr>
            <w:r w:rsidRPr="00B14FA3">
              <w:rPr>
                <w:rFonts w:eastAsia="宋体"/>
                <w:color w:val="000000"/>
                <w:sz w:val="21"/>
                <w:szCs w:val="21"/>
              </w:rPr>
              <w:t>0.189447±0.005119</w:t>
            </w:r>
          </w:p>
        </w:tc>
        <w:tc>
          <w:tcPr>
            <w:tcW w:w="2592" w:type="dxa"/>
            <w:tcBorders>
              <w:top w:val="nil"/>
              <w:left w:val="nil"/>
              <w:bottom w:val="single" w:sz="12" w:space="0" w:color="000000"/>
              <w:right w:val="nil"/>
            </w:tcBorders>
            <w:tcMar>
              <w:top w:w="55" w:type="dxa"/>
              <w:left w:w="70" w:type="dxa"/>
              <w:bottom w:w="55" w:type="dxa"/>
              <w:right w:w="70" w:type="dxa"/>
            </w:tcMar>
            <w:vAlign w:val="center"/>
            <w:hideMark/>
          </w:tcPr>
          <w:p w14:paraId="0C98EADA" w14:textId="77777777" w:rsidR="00B14FA3" w:rsidRPr="00B14FA3" w:rsidRDefault="00B14FA3" w:rsidP="00B14FA3">
            <w:pPr>
              <w:ind w:firstLine="0"/>
              <w:jc w:val="center"/>
            </w:pPr>
            <w:r w:rsidRPr="00B14FA3">
              <w:rPr>
                <w:rFonts w:eastAsia="宋体"/>
                <w:color w:val="000000"/>
                <w:sz w:val="21"/>
                <w:szCs w:val="21"/>
              </w:rPr>
              <w:t>0.170543±0.000729</w:t>
            </w:r>
          </w:p>
        </w:tc>
      </w:tr>
    </w:tbl>
    <w:p w14:paraId="1780FFFA" w14:textId="77777777" w:rsidR="00B14FA3" w:rsidRPr="00B14FA3" w:rsidRDefault="00B14FA3" w:rsidP="00B14FA3"/>
    <w:p w14:paraId="4AE8C979" w14:textId="77777777" w:rsidR="00B14FA3" w:rsidRPr="00B14FA3" w:rsidRDefault="00B14FA3" w:rsidP="00B14FA3">
      <w:pPr>
        <w:keepNext/>
        <w:spacing w:before="60"/>
        <w:ind w:firstLine="0"/>
        <w:jc w:val="center"/>
      </w:pPr>
      <w:r w:rsidRPr="00B14FA3">
        <w:rPr>
          <w:noProof/>
        </w:rPr>
        <w:lastRenderedPageBreak/>
        <w:drawing>
          <wp:inline distT="0" distB="0" distL="0" distR="0" wp14:anchorId="388DECB4" wp14:editId="37BE9719">
            <wp:extent cx="6115050" cy="2570744"/>
            <wp:effectExtent l="0" t="0" r="0" b="9525"/>
            <wp:docPr id="23" name="图片 3"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已检查的图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2570744"/>
                    </a:xfrm>
                    <a:prstGeom prst="rect">
                      <a:avLst/>
                    </a:prstGeom>
                    <a:noFill/>
                    <a:ln>
                      <a:noFill/>
                    </a:ln>
                  </pic:spPr>
                </pic:pic>
              </a:graphicData>
            </a:graphic>
          </wp:inline>
        </w:drawing>
      </w:r>
    </w:p>
    <w:p w14:paraId="5F8614E0"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5 </w:t>
      </w:r>
      <w:r w:rsidRPr="00B14FA3">
        <w:rPr>
          <w:rFonts w:eastAsia="黑体"/>
          <w:b/>
          <w:color w:val="000000"/>
          <w:sz w:val="18"/>
        </w:rPr>
        <w:t>频率保留比例敏感性</w:t>
      </w:r>
    </w:p>
    <w:p w14:paraId="35DBC11F" w14:textId="77777777" w:rsidR="00B14FA3" w:rsidRPr="00B14FA3" w:rsidRDefault="00B14FA3" w:rsidP="00B14FA3">
      <w:r w:rsidRPr="00B14FA3">
        <w:rPr>
          <w:rFonts w:eastAsia="宋体"/>
          <w:color w:val="000000"/>
          <w:sz w:val="21"/>
          <w:szCs w:val="21"/>
        </w:rPr>
        <w:t>在三个候选比例中，</w:t>
      </w:r>
      <w:r w:rsidRPr="00B14FA3">
        <w:rPr>
          <w:rFonts w:eastAsia="宋体"/>
          <w:color w:val="000000"/>
          <w:sz w:val="21"/>
          <w:szCs w:val="21"/>
          <w:i/>
          <w:iCs/>
        </w:rPr>
        <w:t>r</w:t>
      </w:r>
      <w:r w:rsidRPr="00B14FA3">
        <w:rPr>
          <w:rFonts w:eastAsia="宋体"/>
          <w:color w:val="000000"/>
          <w:sz w:val="21"/>
          <w:szCs w:val="21"/>
        </w:rPr>
        <w:t>=0.75时完整模型取得最低MSE 0.189447。相较DLinear，其MSE和MAE分别降低2.34%和9.28%；但相较无频域自适应多尺度主模型，MSE和MAE仍分别高1.80%和1.39%。因此，</w:t>
      </w:r>
      <w:r w:rsidRPr="00B14FA3">
        <w:rPr>
          <w:rFonts w:eastAsia="宋体"/>
          <w:color w:val="000000"/>
          <w:sz w:val="21"/>
          <w:szCs w:val="21"/>
          <w:i/>
          <w:iCs/>
        </w:rPr>
        <w:t>r</w:t>
      </w:r>
      <w:r w:rsidRPr="00B14FA3">
        <w:rPr>
          <w:rFonts w:eastAsia="宋体"/>
          <w:color w:val="000000"/>
          <w:sz w:val="21"/>
          <w:szCs w:val="21"/>
        </w:rPr>
        <w:t>=0.75只能视为当前三个测试比例中的探索性较优设置，不能据此认定为最优频率保留比例。结合表3和图5可见，增加频率保留比例能够缓解低频截断造成的信息损失，但频域门控仍未带来超过无频域主模型的额外收益，其作用更适合作为频率截断边界的辅助分析。</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4A8CA3BE"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Cs w:val="21"/>
          <w:sz w:val="21"/>
        </w:rPr>
        <w:t xml:space="preserve">2.5 代表性预测与适用范围</w:t>
      </w:r>
      <w:r w:rsidRPr="00B14FA3">
        <w:rPr>
          <w:rFonts w:ascii="Arial" w:eastAsia="黑体" w:hAnsi="Arial"/>
          <w:b/>
          <w:bCs/>
          <w:color w:val="000000"/>
          <w:szCs w:val="32"/>
        </w:rPr>
        <w:t/>
      </w:r>
    </w:p>
    <w:p w14:paraId="107295EE" w14:textId="77777777" w:rsidR="00B14FA3" w:rsidRPr="00B14FA3" w:rsidRDefault="00B14FA3" w:rsidP="00B14FA3">
      <w:r w:rsidRPr="00B14FA3">
        <w:rPr>
          <w:rFonts w:eastAsia="宋体"/>
          <w:color w:val="000000"/>
          <w:sz w:val="21"/>
          <w:szCs w:val="21"/>
        </w:rPr>
        <w:t>为直观展示模型在具体OD流量窗口上的预测结果，选取测试集中的代表性样本进行可视化，如图6所示。该图主要用于观察预测序列与真实变化趋势的对应关系，不作为独立于表1—表3之外的额外性能证据。从应用角度看，未来24 h的OD流量预测可作为容量规划、拥塞预警和资源编排的辅助输入，为链路容量调整、路由配置及带宽资源分配提供参考。需要指出的是，本文实验仅基于Abilene数据集、固定输入长度</w:t>
      </w:r>
      <w:r w:rsidRPr="00B14FA3">
        <w:rPr>
          <w:rFonts w:eastAsia="宋体"/>
          <w:color w:val="000000"/>
          <w:sz w:val="21"/>
          <w:szCs w:val="21"/>
          <w:i/>
          <w:iCs/>
        </w:rPr>
        <w:t>L</w:t>
      </w:r>
      <w:r w:rsidRPr="00B14FA3">
        <w:rPr>
          <w:rFonts w:eastAsia="宋体"/>
          <w:color w:val="000000"/>
          <w:sz w:val="21"/>
          <w:szCs w:val="21"/>
        </w:rPr>
        <w:t>=96和预测长度</w:t>
      </w:r>
      <w:r w:rsidRPr="00B14FA3">
        <w:rPr>
          <w:rFonts w:eastAsia="宋体"/>
          <w:color w:val="000000"/>
          <w:sz w:val="21"/>
          <w:szCs w:val="21"/>
          <w:i/>
          <w:iCs/>
        </w:rPr>
        <w:t>H</w:t>
      </w:r>
      <w:r w:rsidRPr="00B14FA3">
        <w:rPr>
          <w:rFonts w:eastAsia="宋体"/>
          <w:color w:val="000000"/>
          <w:sz w:val="21"/>
          <w:szCs w:val="21"/>
        </w:rPr>
        <w:t>=24开展，并以3个随机种子进行重复验证；模型也未显式引入OD节点之间的网络拓扑关系。因此，当前结果主要说明所提出方法在该数据集和预测设置下的有效性，其在其他网络规模、不同预测长度及拓扑条件下的泛化能力仍需进一步验证。</w:t>
      </w:r>
      <w:r w:rsidRPr="00B14FA3">
        <w:rPr>
          <w:color w:val="000000"/>
        </w:rPr>
        <w:t xml:space="preserve"/>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16EE8023" w14:textId="77777777" w:rsidR="00B14FA3" w:rsidRPr="00B14FA3" w:rsidRDefault="00B14FA3" w:rsidP="00B14FA3">
      <w:pPr>
        <w:keepNext/>
        <w:spacing w:before="60"/>
        <w:ind w:firstLine="0"/>
        <w:jc w:val="center"/>
      </w:pPr>
      <w:r w:rsidRPr="00B14FA3">
        <w:rPr>
          <w:noProof/>
        </w:rPr>
        <w:drawing>
          <wp:inline distT="0" distB="0" distL="0" distR="0" wp14:anchorId="25B76E87" wp14:editId="0917FFB9">
            <wp:extent cx="4610100" cy="1870422"/>
            <wp:effectExtent l="0" t="0" r="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0100" cy="1870422"/>
                    </a:xfrm>
                    <a:prstGeom prst="rect">
                      <a:avLst/>
                    </a:prstGeom>
                    <a:noFill/>
                    <a:ln>
                      <a:noFill/>
                    </a:ln>
                  </pic:spPr>
                </pic:pic>
              </a:graphicData>
            </a:graphic>
          </wp:inline>
        </w:drawing>
      </w:r>
    </w:p>
    <w:p w14:paraId="56B68CCA"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6 </w:t>
      </w:r>
      <w:r w:rsidRPr="00B14FA3">
        <w:rPr>
          <w:rFonts w:eastAsia="黑体"/>
          <w:b/>
          <w:color w:val="000000"/>
          <w:sz w:val="18"/>
        </w:rPr>
        <w:t>代表性窗口预测结果</w:t>
      </w:r>
    </w:p>
    <w:p w14:paraId="34440590"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30963988" w14:textId="77777777" w:rsidR="00B14FA3" w:rsidRPr="00B14FA3" w:rsidRDefault="00B14FA3" w:rsidP="00B14FA3">
      <w:r w:rsidRPr="00B14FA3">
        <w:rPr>
          <w:rFonts w:eastAsia="宋体"/>
          <w:color w:val="000000"/>
          <w:sz w:val="21"/>
          <w:szCs w:val="21"/>
        </w:rPr>
        <w:t>实验验证了样本级尺度路由对OD流量预测的增益，核心价值在于以轻量动态权重替代固定尺度组合；频域门控未带来额外优势，表明性能提升主要来自尺度自适应。当前验证仅限Abilene、固定预测长度且未建模拓扑，后续将扩展多数据集、多预测尺度及拓扑约束。</w:t>
      </w:r>
      <w:r w:rsidRPr="00B14FA3">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0E29F68B"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lastRenderedPageBreak/>
        <w:t>参考文献</w:t>
      </w:r>
    </w:p>
    <w:p w14:paraId="7AE3E7B1"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43C7028"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6DA775E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4C6455FF"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4044015C" w14:textId="77777777" w:rsidR="00B14FA3" w:rsidRPr="00B14FA3" w:rsidRDefault="00B14FA3" w:rsidP="00B14FA3">
      <w:pPr>
        <w:ind w:left="420" w:hanging="420"/>
      </w:pPr>
      <w:r w:rsidRPr="00B14FA3">
        <w:rPr>
          <w:sz w:val="18"/>
        </w:rPr>
        <w:t>[5] ZHOU T, MA Z, WEN Q, et al. FEDformer: frequency enhanced decomposed transformer for long-term series forecasting[C]//Proceedings of the 39th International Conference on Machine Learning. 2022: 27268-27286.</w:t>
      </w:r>
    </w:p>
    <w:p w14:paraId="0BF50B94" w14:textId="77777777" w:rsidR="00B14FA3" w:rsidRPr="00B14FA3" w:rsidRDefault="00B14FA3" w:rsidP="00B14FA3">
      <w:pPr>
        <w:ind w:left="420" w:hanging="420"/>
      </w:pPr>
      <w:r w:rsidRPr="00B14FA3">
        <w:rPr>
          <w:sz w:val="18"/>
        </w:rPr>
        <w:t>[6] XU Z, ZENG A, XU Q. FITS: modeling time series with 10k parameters[C]//International Conference on Learning Representations. 2024.</w:t>
      </w:r>
    </w:p>
    <w:p w14:paraId="52C9E87C" w14:textId="77777777" w:rsidR="00B14FA3" w:rsidRPr="00B14FA3" w:rsidRDefault="00B14FA3" w:rsidP="00B14FA3">
      <w:pPr>
        <w:ind w:left="420" w:hanging="420"/>
      </w:pPr>
      <w:r w:rsidRPr="00B14FA3">
        <w:rPr>
          <w:sz w:val="18"/>
        </w:rPr>
        <w:t>[7] WANG S, WU H, SHI X, et al. TimeMixer: decomposable multiscale mixing for time series forecasting[C]//International Conference on Learning Representations. 2024.</w:t>
      </w:r>
    </w:p>
    <w:p w14:paraId="26E8ADF9" w14:textId="77777777" w:rsidR="00B14FA3" w:rsidRPr="00B14FA3" w:rsidRDefault="00B14FA3" w:rsidP="00B14FA3">
      <w:pPr>
        <w:ind w:left="420" w:hanging="420"/>
      </w:pPr>
      <w:r w:rsidRPr="00B14FA3">
        <w:rPr>
          <w:sz w:val="18"/>
        </w:rPr>
        <w:t>[8] TANG C, LU J, YANG W, et al. A frequency-domain multilayer perceptron with multiscale attention network for cellular traffic prediction[J]. Computer Networks, 2025, 271: 111593. DOI: 10.1016/j.comnet.2025.111593.</w:t>
      </w:r>
    </w:p>
    <w:p w14:paraId="4766E387" w14:textId="77777777" w:rsidR="00B14FA3" w:rsidRPr="00B14FA3" w:rsidRDefault="00B14FA3" w:rsidP="00B14FA3">
      <w:pPr>
        <w:ind w:left="420" w:hanging="420"/>
      </w:pPr>
      <w:r w:rsidRPr="00B14FA3">
        <w:rPr>
          <w:sz w:val="18"/>
        </w:rPr>
        <w:t xml:space="preserve">[9] </w:t>
      </w:r>
      <w:r w:rsidRPr="00B14FA3">
        <w:rPr>
          <w:sz w:val="18"/>
        </w:rPr>
        <w:t>韦烜</w:t>
      </w:r>
      <w:r w:rsidRPr="00B14FA3">
        <w:rPr>
          <w:sz w:val="18"/>
        </w:rPr>
        <w:t xml:space="preserve">, </w:t>
      </w:r>
      <w:r w:rsidRPr="00B14FA3">
        <w:rPr>
          <w:sz w:val="18"/>
        </w:rPr>
        <w:t>刘志华</w:t>
      </w:r>
      <w:r w:rsidRPr="00B14FA3">
        <w:rPr>
          <w:sz w:val="18"/>
        </w:rPr>
        <w:t xml:space="preserve">, </w:t>
      </w:r>
      <w:r w:rsidRPr="00B14FA3">
        <w:rPr>
          <w:sz w:val="18"/>
        </w:rPr>
        <w:t>李青</w:t>
      </w:r>
      <w:r w:rsidRPr="00B14FA3">
        <w:rPr>
          <w:sz w:val="18"/>
        </w:rPr>
        <w:t xml:space="preserve">, </w:t>
      </w:r>
      <w:r w:rsidRPr="00B14FA3">
        <w:rPr>
          <w:sz w:val="18"/>
        </w:rPr>
        <w:t>等</w:t>
      </w:r>
      <w:r w:rsidRPr="00B14FA3">
        <w:rPr>
          <w:sz w:val="18"/>
        </w:rPr>
        <w:t xml:space="preserve">. </w:t>
      </w:r>
      <w:r w:rsidRPr="00B14FA3">
        <w:rPr>
          <w:sz w:val="18"/>
        </w:rPr>
        <w:t>大型</w:t>
      </w:r>
      <w:r w:rsidRPr="00B14FA3">
        <w:rPr>
          <w:sz w:val="18"/>
        </w:rPr>
        <w:t>IP</w:t>
      </w:r>
      <w:r w:rsidRPr="00B14FA3">
        <w:rPr>
          <w:sz w:val="18"/>
        </w:rPr>
        <w:t>网络流量矩阵分析预测的探讨研究</w:t>
      </w:r>
      <w:r w:rsidRPr="00B14FA3">
        <w:rPr>
          <w:sz w:val="18"/>
        </w:rPr>
        <w:t xml:space="preserve">[J]. </w:t>
      </w:r>
      <w:r w:rsidRPr="00B14FA3">
        <w:rPr>
          <w:sz w:val="18"/>
        </w:rPr>
        <w:t>系统工程与电子技术</w:t>
      </w:r>
      <w:r w:rsidRPr="00B14FA3">
        <w:rPr>
          <w:sz w:val="18"/>
        </w:rPr>
        <w:t>, 2024, 46(6): 2164-2173. DOI: 10.12305/j.issn.1001-506X.2024.06.35.</w:t>
      </w:r>
    </w:p>
    <w:p w14:paraId="5133831D" w14:textId="77777777" w:rsidR="00B14FA3" w:rsidRPr="00B14FA3" w:rsidRDefault="00B14FA3" w:rsidP="00B14FA3">
      <w:pPr>
        <w:ind w:left="420" w:hanging="420"/>
      </w:pPr>
      <w:r w:rsidRPr="00B14FA3">
        <w:rPr>
          <w:sz w:val="18"/>
        </w:rPr>
        <w:t xml:space="preserve">[10] </w:t>
      </w:r>
      <w:r w:rsidRPr="00B14FA3">
        <w:rPr>
          <w:sz w:val="18"/>
        </w:rPr>
        <w:t>唐文杰</w:t>
      </w:r>
      <w:r w:rsidRPr="00B14FA3">
        <w:rPr>
          <w:sz w:val="18"/>
        </w:rPr>
        <w:t xml:space="preserve">, </w:t>
      </w:r>
      <w:r w:rsidRPr="00B14FA3">
        <w:rPr>
          <w:sz w:val="18"/>
        </w:rPr>
        <w:t>肖一磊</w:t>
      </w:r>
      <w:r w:rsidRPr="00B14FA3">
        <w:rPr>
          <w:sz w:val="18"/>
        </w:rPr>
        <w:t xml:space="preserve">, </w:t>
      </w:r>
      <w:r w:rsidRPr="00B14FA3">
        <w:rPr>
          <w:sz w:val="18"/>
        </w:rPr>
        <w:t>孔祥宇</w:t>
      </w:r>
      <w:r w:rsidRPr="00B14FA3">
        <w:rPr>
          <w:sz w:val="18"/>
        </w:rPr>
        <w:t xml:space="preserve">, </w:t>
      </w:r>
      <w:r w:rsidRPr="00B14FA3">
        <w:rPr>
          <w:sz w:val="18"/>
        </w:rPr>
        <w:t>等</w:t>
      </w:r>
      <w:r w:rsidRPr="00B14FA3">
        <w:rPr>
          <w:sz w:val="18"/>
        </w:rPr>
        <w:t>. CycleLLH</w:t>
      </w:r>
      <w:r w:rsidRPr="00B14FA3">
        <w:rPr>
          <w:sz w:val="18"/>
        </w:rPr>
        <w:t>：一种基于周期性整合的新型网络流量预测模型</w:t>
      </w:r>
      <w:r w:rsidRPr="00B14FA3">
        <w:rPr>
          <w:sz w:val="18"/>
        </w:rPr>
        <w:t xml:space="preserve">[J]. </w:t>
      </w:r>
      <w:r w:rsidRPr="00B14FA3">
        <w:rPr>
          <w:sz w:val="18"/>
        </w:rPr>
        <w:t>计算机学报</w:t>
      </w:r>
      <w:r w:rsidRPr="00B14FA3">
        <w:rPr>
          <w:sz w:val="18"/>
        </w:rPr>
        <w:t>, 2024, 47(12): 2867-2888. DOI: 10.11897/SP.J.1016.2024.02867.</w:t>
      </w:r>
    </w:p>
    <w:bookmarkEnd w:id="1"/>
    <w:p w14:paraId="4039DDE8" w14:textId="77777777" w:rsidR="00B14FA3" w:rsidRPr="00B14FA3" w:rsidRDefault="00B14FA3" w:rsidP="00B14FA3">
      <w:pPr>
        <w:ind w:left="420" w:hanging="420"/>
      </w:pPr>
    </w:p>
    <w:p w14:paraId="4D79E910" w14:textId="77777777" w:rsidR="003E35DB" w:rsidRPr="00B14FA3" w:rsidRDefault="003E35DB" w:rsidP="00B14FA3"/>
    <w:sectPr w:rsidR="003E35DB" w:rsidRPr="00B14FA3" w:rsidSect="00F23B67">
      <w:headerReference w:type="default" r:id="rId12"/>
      <w:footerReference w:type="first" r:id="rId13"/>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8B5B" w14:textId="77777777" w:rsidR="00135816" w:rsidRDefault="00135816" w:rsidP="00F23B67">
      <w:r>
        <w:separator/>
      </w:r>
    </w:p>
  </w:endnote>
  <w:endnote w:type="continuationSeparator" w:id="0">
    <w:p w14:paraId="3C927213" w14:textId="77777777" w:rsidR="00135816" w:rsidRDefault="00135816"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E5C4" w14:textId="77777777" w:rsidR="00F23B67" w:rsidRDefault="00F23B67">
    <w:pPr>
      <w:jc w:val="left"/>
    </w:pPr>
    <w:r>
      <w:rPr>
        <w:sz w:val="16"/>
      </w:rPr>
      <w:t>收稿日期：[请填写，格式YYYY-MM-DD]</w:t>
    </w:r>
    <w:r>
      <w:rPr>
        <w:sz w:val="16"/>
      </w:rPr>
      <w:t/>
    </w:r>
    <w:r>
      <w:rPr>
        <w:sz w:val="16"/>
      </w:rPr>
      <w:t/>
    </w:r>
    <w:r>
      <w:rPr>
        <w:sz w:val="16"/>
      </w:rPr>
      <w:t/>
    </w:r>
  </w:p>
  <w:p w14:paraId="23215570" w14:textId="77777777" w:rsidR="00F23B67" w:rsidRDefault="00F23B67">
    <w:pPr>
      <w:jc w:val="left"/>
    </w:pPr>
    <w:r>
      <w:rPr>
        <w:sz w:val="16"/>
      </w:rPr>
      <w:t>基金项目：[基金来源]（[基金项目编号]）</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p>
  <w:p w14:paraId="50D77D3B" w14:textId="77777777" w:rsidR="00F23B67" w:rsidRDefault="00F23B67">
    <w:pPr>
      <w:jc w:val="left"/>
    </w:pPr>
    <w:r>
      <w:rPr>
        <w:sz w:val="16"/>
      </w:rPr>
      <w:t>第一作者简介：[姓名]（[出生年]—），[性别（民族，汉族可省略）]，[职称]，[学位（若在读请注明）]，研究方向：[方向1]；[方向2]。</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p>
  <w:p w14:paraId="75EC2E93" w14:textId="77777777" w:rsidR="00F23B67" w:rsidRDefault="00F23B67">
    <w:pPr>
      <w:jc w:val="left"/>
    </w:pPr>
    <w:r>
      <w:rPr>
        <w:sz w:val="16"/>
      </w:rPr>
      <w:t>通信作者简介：[姓名]（[出生年]—），[性别（民族，汉族可省略）]，[职称]，[学位（若在读请注明）]，研究方向：[方向1]；[方向2]，电子邮箱：[邮箱]。</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5BF64" w14:textId="77777777" w:rsidR="00135816" w:rsidRDefault="00135816" w:rsidP="00F23B67">
      <w:r>
        <w:separator/>
      </w:r>
    </w:p>
  </w:footnote>
  <w:footnote w:type="continuationSeparator" w:id="0">
    <w:p w14:paraId="79B76509" w14:textId="77777777" w:rsidR="00135816" w:rsidRDefault="00135816"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E458"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3341C1"/>
    <w:rsid w:val="0034143A"/>
    <w:rsid w:val="003B1B14"/>
    <w:rsid w:val="003E35DB"/>
    <w:rsid w:val="005032D3"/>
    <w:rsid w:val="006309B6"/>
    <w:rsid w:val="00662C25"/>
    <w:rsid w:val="009A3654"/>
    <w:rsid w:val="00B14FA3"/>
    <w:rsid w:val="00B15C9D"/>
    <w:rsid w:val="00D21814"/>
    <w:rsid w:val="00D32DC3"/>
    <w:rsid w:val="00D53327"/>
    <w:rsid w:val="00D537D7"/>
    <w:rsid w:val="00DD4A44"/>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DE7DA"/>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pPrDefault>
      <w:pPr>
        <w:spacing w:line="240" w:lineRule="auto"/>
      </w:pPr>
    </w:pPrDefault>
    <w:rPrDefault>
      <w:rPr>
        <w:rFonts w:asciiTheme="minorHAnsi" w:eastAsiaTheme="minorEastAsia" w:hAnsiTheme="minorHAnsi" w:cstheme="minorBidi" w:eastAsia="宋体"/>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10</Pages>
  <Words>1797</Words>
  <Characters>10248</Characters>
  <Application>Microsoft Office Word</Application>
  <DocSecurity>0</DocSecurity>
  <Lines>85</Lines>
  <Paragraphs>24</Paragraphs>
  <ScaleCrop>false</ScaleCrop>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5</cp:revision>
  <dcterms:created xsi:type="dcterms:W3CDTF">2026-09-15T14:23:00Z</dcterms:created>
  <dcterms:modified xsi:type="dcterms:W3CDTF">2026-09-17T16:56:00Z</dcterms:modified>
</cp:coreProperties>
</file>