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14:paraId="7A2F3934" w14:textId="77777777" w:rsidR="00E86078" w:rsidRDefault="00000000">
      <w:pPr>
        <w:pStyle w:val="JournalAbstract"/>
      </w:pPr>
      <w:r>
        <w:rPr>
          <w:b/>
        </w:rPr>
        <w:t>摘要：</w:t>
      </w:r>
      <w:r>
        <w:t>提出自适应多尺度加权方法，按窗口统计量融合三个分解线性模型（</w:t>
      </w:r>
      <w:r>
        <w:t>DLinear</w:t>
      </w:r>
      <w:r>
        <w:t>）的小时级流量预测。</w:t>
      </w:r>
      <w:r>
        <w:t>8</w:t>
      </w:r>
      <w:r>
        <w:t>次重复中，</w:t>
      </w:r>
      <w:r>
        <w:t>Abilene</w:t>
      </w:r>
      <w:r>
        <w:t>和</w:t>
      </w:r>
      <w:r>
        <w:t>GÉANT</w:t>
      </w:r>
      <w:r>
        <w:t>的</w:t>
      </w:r>
      <w:r>
        <w:t>24 h</w:t>
      </w:r>
      <w:r>
        <w:t>均方误差较</w:t>
      </w:r>
      <w:r>
        <w:t>LightTS</w:t>
      </w:r>
      <w:r>
        <w:t>平均降低</w:t>
      </w:r>
      <w:r>
        <w:t>25.77%</w:t>
      </w:r>
      <w:r>
        <w:t>和</w:t>
      </w:r>
      <w:r>
        <w:t>43.74%</w:t>
      </w:r>
      <w:r>
        <w:t>，参数量为其</w:t>
      </w:r>
      <w:r>
        <w:t>6.41%</w:t>
      </w:r>
      <w:r>
        <w:t>和</w:t>
      </w:r>
      <w:r>
        <w:t>2.17%</w:t>
      </w:r>
      <w:r>
        <w:t>。较</w:t>
      </w:r>
      <w:r>
        <w:t>DLinear</w:t>
      </w:r>
      <w:r>
        <w:t>，</w:t>
      </w:r>
      <w:r>
        <w:t>Abilene</w:t>
      </w:r>
      <w:r>
        <w:t>高需求点平均低估误差降低</w:t>
      </w:r>
      <w:r>
        <w:t>16.07%</w:t>
      </w:r>
      <w:r>
        <w:t>，</w:t>
      </w:r>
      <w:r>
        <w:t>GÉANT</w:t>
      </w:r>
      <w:r>
        <w:t>的</w:t>
      </w:r>
      <w:r>
        <w:t>168 h</w:t>
      </w:r>
      <w:r>
        <w:t>均方误差和平均绝对误差降低</w:t>
      </w:r>
      <w:r>
        <w:t>23.16%</w:t>
      </w:r>
      <w:r>
        <w:t>和</w:t>
      </w:r>
      <w:r>
        <w:t>11.16%</w:t>
      </w:r>
      <w:r>
        <w:t>，辅助容量需求估计。</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14:paraId="39C51843" w14:textId="77777777" w:rsidR="00E86078" w:rsidRDefault="00000000">
      <w:pPr>
        <w:pStyle w:val="JournalBody"/>
      </w:pPr>
      <w:r>
        <w:t>在时间结构建模方面，</w:t>
      </w:r>
      <w:r>
        <w:t>Zhou</w:t>
      </w:r>
      <w:r>
        <w:t>等</w:t>
      </w:r>
      <w:r>
        <w:rPr>
          <w:vertAlign w:val="superscript"/>
        </w:rPr>
        <w:t>[5]</w:t>
      </w:r>
      <w:r>
        <w:t>通过深度回声状态网络开展多尺度流量预测。分解线性模型（</w:t>
      </w:r>
      <w:r>
        <w:t>decomposition linear model</w:t>
      </w:r>
      <w:r>
        <w:t>，</w:t>
      </w:r>
      <w:r>
        <w:t>DLinear</w:t>
      </w:r>
      <w:r>
        <w:t>）</w:t>
      </w:r>
      <w:r>
        <w:rPr>
          <w:vertAlign w:val="superscript"/>
        </w:rPr>
        <w:t>[6]</w:t>
      </w:r>
      <w:r>
        <w:t>将趋势项和余项分别映射至预测区间，</w:t>
      </w:r>
      <w:r>
        <w:t>TimeMixer</w:t>
      </w:r>
      <w:r>
        <w:rPr>
          <w:vertAlign w:val="superscript"/>
        </w:rPr>
        <w:t>[7]</w:t>
      </w:r>
      <w:r>
        <w:t>采用可分解多尺度混合；</w:t>
      </w:r>
      <w:r>
        <w:t>TimesNet</w:t>
      </w:r>
      <w:r>
        <w:t>公开基准</w:t>
      </w:r>
      <w:r>
        <w:rPr>
          <w:vertAlign w:val="superscript"/>
        </w:rPr>
        <w:t>[8]</w:t>
      </w:r>
      <w:r>
        <w:t>则将基于多层感知机（</w:t>
      </w:r>
      <w:r>
        <w:t>multilayer perceptron</w:t>
      </w:r>
      <w:r>
        <w:t>，</w:t>
      </w:r>
      <w:r>
        <w:t>MLP</w:t>
      </w:r>
      <w:r>
        <w:t>）的</w:t>
      </w:r>
      <w:r>
        <w:t>LightTS</w:t>
      </w:r>
      <w:r>
        <w:t>纳入比较。这些研究为刻画流量的时间结构提供了方法基础。对本文的预测任务而言，关键还在于不同尺度的候选结果如何融合：固定等权和全局权重均对各输入窗口使用同一组系数，而窗口本身的变化状态却不完全相同。因此，本文将研究重点放在轻量尺度专家与输入相关融合权重的结合上。</w:t>
      </w:r>
    </w:p>
    <w:p w14:paraId="5940871F" w14:textId="77777777" w:rsidR="00E86078" w:rsidRDefault="00000000">
      <w:pPr>
        <w:pStyle w:val="JournalBody"/>
      </w:pPr>
      <w:r>
        <w:t>围绕上述问题，本文构建自适应多尺度加权预测模型。模型先将历史流量按</w:t>
      </w:r>
      <w:r>
        <w:t>1</w:t>
      </w:r>
      <w:r>
        <w:t>、</w:t>
      </w:r>
      <w:r>
        <w:t>2</w:t>
      </w:r>
      <w:r>
        <w:t>、</w:t>
      </w:r>
      <w:r>
        <w:t>4</w:t>
      </w:r>
      <w:r>
        <w:t>三个尺度聚合，由三个参数独立的</w:t>
      </w:r>
      <w:r>
        <w:t>DLinear</w:t>
      </w:r>
      <w:r>
        <w:t>专家分别产生候选预测；随后从当前窗口计算四项统计量，通过仅含</w:t>
      </w:r>
      <w:r>
        <w:t>131</w:t>
      </w:r>
      <w:r>
        <w:t>个参数的路由网络生成尺度权重，得到最终预测。实验在</w:t>
      </w:r>
      <w:r>
        <w:t>Abilene</w:t>
      </w:r>
      <w:r>
        <w:t>和</w:t>
      </w:r>
      <w:r>
        <w:t>GÉANT</w:t>
      </w:r>
      <w:r>
        <w:t>上开展</w:t>
      </w:r>
      <w:r>
        <w:t>24 h</w:t>
      </w:r>
      <w:r>
        <w:t>预测及融合方式对照，并在高需求点与</w:t>
      </w:r>
      <w:r>
        <w:t>GÉANT</w:t>
      </w:r>
      <w:r>
        <w:t>的</w:t>
      </w:r>
      <w:r>
        <w:t>168 h</w:t>
      </w:r>
      <w:r>
        <w:t>预测任务上进一步检验方法表现。</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w:t>
      </w:r>
      <w:r w:rsidR="00036224">
        <w:t>窗口预设</w:t>
      </w:r>
      <w:r w:rsidR="00036224">
        <w:rPr>
          <w:rFonts w:hint="eastAsia"/>
        </w:rPr>
        <w:t>不同的</w:t>
      </w:r>
      <w:r w:rsidR="00036224">
        <w:t>融合系数</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14:paraId="372CD8CD" w14:textId="77777777" w:rsidR="00E86078" w:rsidRDefault="00000000">
      <w:pPr>
        <w:pStyle w:val="JournalBody"/>
      </w:pPr>
      <w:r>
        <w:t>式（</w:t>
      </w:r>
      <w:r>
        <w:t>9</w:t>
      </w:r>
      <w:r>
        <w:t>）和式（</w:t>
      </w:r>
      <w:r>
        <w:t>10</w:t>
      </w:r>
      <w:r>
        <w:t>）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TimesNet</w:t>
      </w:r>
      <w:r>
        <w:t>公开基准代码库的实现</w:t>
      </w:r>
      <w:r>
        <w:rPr>
          <w:vertAlign w:val="superscript"/>
        </w:rPr>
        <w:t>[8]</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14:paraId="3A06427B" w14:textId="05F90C4C" w:rsidR="00E86078" w:rsidRDefault="00000000">
      <w:pPr>
        <w:pStyle w:val="JournalBody"/>
      </w:pPr>
      <w:r>
        <w:t>表</w:t>
      </w:r>
      <w:r>
        <w:t>2</w:t>
      </w:r>
      <w:r>
        <w:t>中，本文方法在两套数据上的平均</w:t>
      </w:r>
      <w:r>
        <w:t>MSE</w:t>
      </w:r>
      <w:r>
        <w:t>与</w:t>
      </w:r>
      <w:r>
        <w:t>MAE</w:t>
      </w:r>
      <w:r>
        <w:t>均最优。相对</w:t>
      </w:r>
      <w:r w:rsidR="000C3E54">
        <w:rPr>
          <w:rFonts w:hint="eastAsia"/>
        </w:rPr>
        <w:t>于</w:t>
      </w:r>
      <w:r>
        <w:t>LightTS</w:t>
      </w:r>
      <w:r>
        <w:t>，</w:t>
      </w:r>
      <w:r>
        <w:t>Abilene</w:t>
      </w:r>
      <w:r>
        <w:t>和</w:t>
      </w:r>
      <w:r>
        <w:t>GÉANT</w:t>
      </w:r>
      <w:r w:rsidR="00D34FBE">
        <w:rPr>
          <w:rFonts w:hint="eastAsia"/>
        </w:rPr>
        <w:t>，</w:t>
      </w:r>
      <w:r>
        <w:t>MSE</w:t>
      </w:r>
      <w:r>
        <w:t>平均降低</w:t>
      </w:r>
      <w:r>
        <w:t>25.77%</w:t>
      </w:r>
      <w:r>
        <w:t>和</w:t>
      </w:r>
      <w:r>
        <w:t>43.74%</w:t>
      </w:r>
      <w:r>
        <w:t>，</w:t>
      </w:r>
      <w:r>
        <w:t>MAE</w:t>
      </w:r>
      <w:r>
        <w:t>降低</w:t>
      </w:r>
      <w:r>
        <w:t>12.66%</w:t>
      </w:r>
      <w:r>
        <w:t>和</w:t>
      </w:r>
      <w:r>
        <w:t>29.09%</w:t>
      </w:r>
      <w:r>
        <w:t>；参数量分别减少</w:t>
      </w:r>
      <w:r>
        <w:t>93.59%</w:t>
      </w:r>
      <w:r>
        <w:t>和</w:t>
      </w:r>
      <w:r>
        <w:t>97.83%</w:t>
      </w:r>
      <w:r>
        <w:t>。</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14:paraId="57D25F2F" w14:textId="77777777" w:rsidR="00E86078" w:rsidRDefault="00000000">
      <w:pPr>
        <w:pStyle w:val="JournalBody"/>
      </w:pPr>
      <w:r>
        <w:t>由表</w:t>
      </w:r>
      <w:r>
        <w:t>3</w:t>
      </w:r>
      <w:r>
        <w:t>可见，在</w:t>
      </w:r>
      <w:r>
        <w:t>Abilene</w:t>
      </w:r>
      <w:r>
        <w:t>和</w:t>
      </w:r>
      <w:r>
        <w:t>GÉANT</w:t>
      </w:r>
      <w:r>
        <w:t>上，本文方法的平均</w:t>
      </w:r>
      <w:r>
        <w:t>MSE</w:t>
      </w:r>
      <w:r>
        <w:t>与</w:t>
      </w:r>
      <w:r>
        <w:t>MAE</w:t>
      </w:r>
      <w:r>
        <w:t>均为所列方法中的最低值。相对单尺度</w:t>
      </w:r>
      <w:r>
        <w:t>DLinear</w:t>
      </w:r>
      <w:r>
        <w:t>，两套数据的</w:t>
      </w:r>
      <w:r>
        <w:t>MSE</w:t>
      </w:r>
      <w:r>
        <w:t>平均降低</w:t>
      </w:r>
      <w:r>
        <w:t>2.77%</w:t>
      </w:r>
      <w:r>
        <w:t>和</w:t>
      </w:r>
      <w:r>
        <w:t>2.35%</w:t>
      </w:r>
      <w:r>
        <w:t>；相对全局可学习权重，分别降低</w:t>
      </w:r>
      <w:r>
        <w:t>1.80%</w:t>
      </w:r>
      <w:r>
        <w:t>和</w:t>
      </w:r>
      <w:r>
        <w:t>4.31%</w:t>
      </w:r>
      <w:r>
        <w:t>。在</w:t>
      </w:r>
      <w:r>
        <w:t>Abilene</w:t>
      </w:r>
      <w:r>
        <w:t>上，本文方法的</w:t>
      </w:r>
      <w:r>
        <w:t>MAE</w:t>
      </w:r>
      <w:r>
        <w:t>较</w:t>
      </w:r>
      <w:r>
        <w:t>DLinear</w:t>
      </w:r>
      <w:r>
        <w:t>和全局可学习权重分别降低</w:t>
      </w:r>
      <w:r>
        <w:t>8.01%</w:t>
      </w:r>
      <w:r>
        <w:t>和</w:t>
      </w:r>
      <w:r>
        <w:t>8.91%</w:t>
      </w:r>
      <w:r>
        <w:t>。结合恒定输入路由对照，结果支持将当前窗口统计信息用于尺度融合。</w:t>
      </w:r>
    </w:p>
    <w:p w14:paraId="3C9A60F2" w14:textId="77777777" w:rsidR="00E86078" w:rsidRDefault="00000000">
      <w:pPr>
        <w:pStyle w:val="JournalHeading2"/>
      </w:pPr>
      <w:r>
        <w:t>2.4</w:t>
      </w:r>
      <w:r>
        <w:t xml:space="preserve">　高需求预测表现</w:t>
      </w:r>
    </w:p>
    <w:p w14:paraId="0985F9B6" w14:textId="77777777" w:rsidR="002905B1" w:rsidRDefault="00000000">
      <w:pPr>
        <w:pStyle w:val="JournalBody"/>
      </w:pPr>
      <w:r>
        <w:t>总体预测误差反映所有目标点的平均表现，而网络容量需求分析还关心较高流量水平下的预测情况。因此，进一步从各</w:t>
      </w:r>
      <w:r>
        <w:t>OD</w:t>
      </w:r>
      <w:r>
        <w:t>变量的训练集分布确定高需求阈值，再用相同阈值筛选测试目标。对于这些目标点，除</w:t>
      </w:r>
      <w:r>
        <w:t>MAE</w:t>
      </w:r>
      <w:r>
        <w:t>外另计算平均低估误差（</w:t>
      </w:r>
      <w:r>
        <w:t>AUE</w:t>
      </w:r>
      <w:r>
        <w:t>），用于描述预测低于真实需求时的平均差额。</w:t>
      </w:r>
    </w:p>
    <w:p w14:paraId="73C96DC4" w14:textId="77777777" w:rsidR="00E86078" w:rsidRDefault="00000000">
      <w:pPr>
        <w:pStyle w:val="JournalBody"/>
      </w:pPr>
      <w:r>
        <w:t>以标准化训练集各</w:t>
      </w:r>
      <w:r>
        <w:t>OD</w:t>
      </w:r>
      <w:r>
        <w:t>变量的第</w:t>
      </w:r>
      <w:r>
        <w:t>90</w:t>
      </w:r>
      <w:r>
        <w:t>百分位为阈值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，定义测试集高需求点集</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，在集合内全部目标点上计算</w:t>
      </w:r>
      <w:r>
        <w:t>MAE</w:t>
      </w:r>
      <w:r>
        <w:t>与平均低估误差（</w:t>
      </w:r>
      <w:r>
        <w:t>average underestimation error</w:t>
      </w:r>
      <w:r>
        <w:t>，</w:t>
      </w:r>
      <w:r>
        <w:t>AUE</w:t>
      </w:r>
      <w:r>
        <w:t>）：</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14:paraId="1A869236" w14:textId="77777777" w:rsidR="00E86078" w:rsidRDefault="00000000">
      <w:pPr>
        <w:pStyle w:val="JournalBody"/>
      </w:pPr>
      <w:r>
        <w:t>图</w:t>
      </w:r>
      <w:r>
        <w:t>3</w:t>
      </w:r>
      <w:r>
        <w:t>显示，本文方法在</w:t>
      </w:r>
      <w:r>
        <w:t>Abilene</w:t>
      </w:r>
      <w:r>
        <w:t>上的</w:t>
      </w:r>
      <w:r>
        <w:t>MAE</w:t>
      </w:r>
      <w:r>
        <w:t>与</w:t>
      </w:r>
      <w:r>
        <w:t>AUE</w:t>
      </w:r>
      <w:r>
        <w:t>为</w:t>
      </w:r>
      <w:r>
        <w:t>0.147</w:t>
      </w:r>
      <w:r>
        <w:t>和</w:t>
      </w:r>
      <w:r>
        <w:t>0.137</w:t>
      </w:r>
      <w:r>
        <w:t>，在</w:t>
      </w:r>
      <w:r>
        <w:t>GÉANT</w:t>
      </w:r>
      <w:r>
        <w:t>上为</w:t>
      </w:r>
      <w:r>
        <w:t>0.632</w:t>
      </w:r>
      <w:r>
        <w:t>和</w:t>
      </w:r>
      <w:r>
        <w:t>0.577</w:t>
      </w:r>
      <w:r>
        <w:t>，均值均低于所列对照。</w:t>
      </w:r>
      <w:r>
        <w:t>Abilene</w:t>
      </w:r>
      <w:r>
        <w:t>上，相对</w:t>
      </w:r>
      <w:r>
        <w:t>DLinear</w:t>
      </w:r>
      <w:r>
        <w:t>两项指标平均降低</w:t>
      </w:r>
      <w:r>
        <w:t>13.96%</w:t>
      </w:r>
      <w:r>
        <w:t>和</w:t>
      </w:r>
      <w:r>
        <w:t>16.07%</w:t>
      </w:r>
      <w:r>
        <w:t>，相对固定等权降低</w:t>
      </w:r>
      <w:r>
        <w:t>17.47%</w:t>
      </w:r>
      <w:r>
        <w:t>和</w:t>
      </w:r>
      <w:r>
        <w:t>20.84%</w:t>
      </w:r>
      <w:r>
        <w:t>。横轴为局部范围，虚线为</w:t>
      </w:r>
      <w:r>
        <w:t>DLinear</w:t>
      </w:r>
      <w:r>
        <w:t>均值。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14:paraId="4CF678A7" w14:textId="77777777" w:rsidR="00E86078" w:rsidRDefault="00000000">
      <w:pPr>
        <w:pStyle w:val="JournalBody"/>
      </w:pPr>
      <w:r>
        <w:t>表</w:t>
      </w:r>
      <w:r>
        <w:t>4</w:t>
      </w:r>
      <w:r>
        <w:t>显示，本文方法的平均</w:t>
      </w:r>
      <w:r>
        <w:t>MSE</w:t>
      </w:r>
      <w:r>
        <w:t>和</w:t>
      </w:r>
      <w:r>
        <w:t>MAE</w:t>
      </w:r>
      <w:r>
        <w:t>均最优，较</w:t>
      </w:r>
      <w:r>
        <w:t>DLinear</w:t>
      </w:r>
      <w:r>
        <w:t>降低</w:t>
      </w:r>
      <w:r>
        <w:t>23.16%</w:t>
      </w:r>
      <w:r>
        <w:t>和</w:t>
      </w:r>
      <w:r>
        <w:t>11.16%</w:t>
      </w:r>
      <w:r>
        <w:t>，较其余融合对照降低</w:t>
      </w:r>
      <w:r>
        <w:t>23.77%</w:t>
      </w:r>
      <w:r>
        <w:t>～</w:t>
      </w:r>
      <w:r>
        <w:t>26.11%</w:t>
      </w:r>
      <w:r>
        <w:t>和</w:t>
      </w:r>
      <w:r>
        <w:t>11.19%</w:t>
      </w:r>
      <w:r>
        <w:t>～</w:t>
      </w:r>
      <w:r>
        <w:t>12.39%</w:t>
      </w:r>
      <w:r>
        <w:t>。</w:t>
      </w:r>
      <w:r>
        <w:t>168 h</w:t>
      </w:r>
      <w:r>
        <w:t>模型含</w:t>
      </w:r>
      <w:r>
        <w:t>57587</w:t>
      </w:r>
      <w:r>
        <w:t>个参数，路由网络仍为</w:t>
      </w:r>
      <w:r>
        <w:t>131</w:t>
      </w:r>
      <w:r>
        <w:t>个，仅占</w:t>
      </w:r>
      <w:r>
        <w:t>0.23%</w:t>
      </w:r>
      <w:r>
        <w:t>。图</w:t>
      </w:r>
      <w:r>
        <w:t>4</w:t>
      </w:r>
      <w:r>
        <w:t>左列展示绝对误差，右列中全部</w:t>
      </w:r>
      <w:r>
        <w:t>64</w:t>
      </w:r>
      <w:r>
        <w:t>个配对降幅均为正值。</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WU Haixu, HU Tengge, LIU Yong, et al. TimesNet: temporal 2D-variation modeling for general time series analysis[C/OL]//The Eleventh International Conference on Learning Representations. 2023[2026-10-21]. https://openreview.net/forum?id=ju_Uqw384Oq.</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spacing w:before="360"/>
      </w:pPr>
      <w:r>
        <w:t>Multivariate network traffic forecasting with adaptive multiscale weighting</w:t>
      </w:r>
    </w:p>
    <w:p w14:paraId="28682C82" w14:textId="77777777" w:rsidR="00E86078" w:rsidRDefault="00000000">
      <w:pPr>
        <w:pStyle w:val="JournalAuthor"/>
      </w:pPr>
      <w:r>
        <w:t>KE Yawen</w:t>
      </w:r>
    </w:p>
    <w:p w14:paraId="3F8049CC" w14:textId="77777777" w:rsidR="00E86078" w:rsidRDefault="00000000">
      <w:pPr>
        <w:pStyle w:val="JournalAffiliation"/>
      </w:pPr>
      <w:r>
        <w:t>(School of Information Engineering, Anhui Finance &amp; Trade Vocational College, Hefei Anhui 231200, China)</w:t>
      </w:r>
    </w:p>
    <w:p w14:paraId="379BF765" w14:textId="77777777" w:rsidR="00E86078" w:rsidRDefault="00E86078">
      <w:pPr>
        <w:pStyle w:val="JournalBlank"/>
      </w:pPr>
    </w:p>
    <w:p w14:paraId="756EA0D3" w14:textId="77777777" w:rsidR="00E86078" w:rsidRDefault="00000000">
      <w:pPr>
        <w:pStyle w:val="JournalAbstract"/>
      </w:pPr>
      <w:r>
        <w:rPr>
          <w:b/>
        </w:rPr>
        <w:t>Abstract:</w:t>
      </w:r>
      <w:r>
        <w:t xml:space="preserve"> An adaptive multiscale weighting method forecasts hourly traffic by combining three decomposition linear models (DLinear) according to window statistics. Across eight training runs, mean relative reductions in 24-hour mean squared error versus LightTS are 25.77% on Abilene and 43.74% on GÉANT. Parameter counts are 6.41% and 2.17% of the respective LightTS configurations. Relative to DLinear, the mean shortfall at high-demand Abilene points decreases by 16.07%. For 168-hour GÉANT forecasting against DLinear, mean squared error and mean absolute error decrease by 23.16% and 11.16%, respectively. These results support capacity demand estimation using hourly traffic forecasts.</w:t>
      </w:r>
    </w:p>
    <w:p w14:paraId="301CB544" w14:textId="77777777" w:rsidR="00E86078" w:rsidRDefault="00000000">
      <w:pPr>
        <w:pStyle w:val="JournalAbstract"/>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