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余且静态融合易受噪声干扰的问题，提出一种自适应多尺度加权的多变量网络流量预测方法。该方法通过非重叠时间聚合构造多分辨率输入，利用三个参数独立的分解线性专家（DLinear）解耦并提取各尺度下的趋势项与余项特征，进而设计仅含131个参数的轻量级窗口路由网络，提取历史窗口的四维时域统计特征，自适应生成样本级多尺度融合权重。在Abilene和GÉANT真实骨干网数据集上的重复实验表明：在24 h预测任务中，所提方法仅以LightTS模型6.41%和2.17%的参数规模（仅8339个参数），实现了25.77%和43.74%的均方误差（MSE）降幅，相较于单尺度DLinear及静态多尺度融合策略，MSE最高降低4.97%，且在高需求峰点的平均低估误差降低达16.07%。在GÉANT数据集168 h长周期预测任务中，其MSE和平均绝对误差（MAE）较DLinear分别降低23.16%和11.16%，可为骨干网容量规划与资源调度提供预测参考。</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采用可分解多尺度混合架构，TimesNet公开基准</w:t>
      </w:r>
      <w:r>
        <w:rPr>
          <w:vertAlign w:val="superscript"/>
        </w:rPr>
        <w:t>[8]</w:t>
      </w:r>
      <w:r>
        <w:t>则引入基于多层感知机（MLP）的LightTS处理多维时序。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h常规预测、90分位高需求峰值估计以及168 h一周超长期预测中均取得显著领先优势。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rsidR="00E86078" w:rsidRDefault="00000000">
      <w:pPr>
        <w:pStyle w:val="JournalBody"/>
      </w:pPr>
      <w:r>
        <w:t>在骨干网通信场景下，尺度集合</w:t>
      </w:r>
      <m:oMath>
        <m:r>
          <m:rPr>
            <m:sty m:val="i"/>
          </m:rPr>
          <w:rPr>
            <w:rFonts w:ascii="Cambria Math" w:hAnsi="Cambria Math"/>
          </w:rPr>
          <m:t>S</m:t>
        </m:r>
        <m:r>
          <m:rPr>
            <m:sty m:val="p"/>
          </m:rPr>
          <w:rPr>
            <w:rFonts w:ascii="Cambria Math" w:hAnsi="Cambria Math"/>
          </w:rPr>
          <m:t>={1,2,4}</m:t>
        </m:r>
      </m:oMath>
      <w:r>
        <w:t>具有明确的物理对应关系：尺度</w:t>
      </w:r>
      <m:oMath>
        <m:r>
          <m:rPr>
            <m:sty m:val="i"/>
          </m:rPr>
          <w:rPr>
            <w:rFonts w:ascii="Cambria Math" w:hAnsi="Cambria Math"/>
          </w:rPr>
          <m:t>s</m:t>
        </m:r>
        <m:r>
          <m:rPr>
            <m:sty m:val="p"/>
          </m:rPr>
          <w:rPr>
            <w:rFonts w:ascii="Cambria Math" w:hAnsi="Cambria Math"/>
          </w:rPr>
          <m:t>=1</m:t>
        </m:r>
      </m:oMath>
      <w:r>
        <w:t>（96步）完整保留1 h粒度的原始高频波动与局部突发尖峰；尺度</w:t>
      </w:r>
      <m:oMath>
        <m:r>
          <m:rPr>
            <m:sty m:val="i"/>
          </m:rPr>
          <w:rPr>
            <w:rFonts w:ascii="Cambria Math" w:hAnsi="Cambria Math"/>
          </w:rPr>
          <m:t>s</m:t>
        </m:r>
        <m:r>
          <m:rPr>
            <m:sty m:val="p"/>
          </m:rPr>
          <w:rPr>
            <w:rFonts w:ascii="Cambria Math" w:hAnsi="Cambria Math"/>
          </w:rPr>
          <m:t>=2</m:t>
        </m:r>
      </m:oMath>
      <w:r>
        <w:t>（48步）通过2 h均值滤波平滑短时毛刺，刻画半日内的潮汐过渡节奏；尺度</w:t>
      </w:r>
      <m:oMath>
        <m:r>
          <m:rPr>
            <m:sty m:val="i"/>
          </m:rPr>
          <w:rPr>
            <w:rFonts w:ascii="Cambria Math" w:hAnsi="Cambria Math"/>
          </w:rPr>
          <m:t>s</m:t>
        </m:r>
        <m:r>
          <m:rPr>
            <m:sty m:val="p"/>
          </m:rPr>
          <w:rPr>
            <w:rFonts w:ascii="Cambria Math" w:hAnsi="Cambria Math"/>
          </w:rPr>
          <m:t>=4</m:t>
        </m:r>
      </m:oMath>
      <w:r>
        <w:t>（24步）则以4 h块均值浓缩长达4天的宏观负载基线。三个尺度互为补充，从微观瞬态到宏观趋势构建起层次化的表征空间。同时，在每个尺度上统一采用长度</w:t>
      </w:r>
      <m:oMath>
        <m:r>
          <m:rPr>
            <m:sty m:val="i"/>
          </m:rPr>
          <w:rPr>
            <w:rFonts w:ascii="Cambria Math" w:hAnsi="Cambria Math"/>
          </w:rPr>
          <m:t>q</m:t>
        </m:r>
        <m:r>
          <m:rPr>
            <m:sty m:val="p"/>
          </m:rPr>
          <w:rPr>
            <w:rFonts w:ascii="Cambria Math" w:hAnsi="Cambria Math"/>
          </w:rPr>
          <m:t>=25</m:t>
        </m:r>
      </m:oMath>
      <w:r>
        <w:t>的移动平均核提取趋势项，使细粒度专家聚焦于日周期（24 h）附近的趋势剥离，而粗粒度专家则捕获跨越多日的超长周期基线水平，从而最大化不同专家预测输出的多样性与互补性。</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w:t>
      </w:r>
      <w:r w:rsidR="00036224">
        <w:t>窗口预设</w:t>
      </w:r>
      <w:r w:rsidR="00036224">
        <w:rPr>
          <w:rFonts w:hint="eastAsia"/>
        </w:rPr>
        <w:t>不同的</w:t>
      </w:r>
      <w:r w:rsidR="00036224">
        <w:t>融合系数</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rsidR="00E86078" w:rsidRDefault="00000000">
      <w:pPr>
        <w:pStyle w:val="JournalBody"/>
      </w:pPr>
      <w:r>
        <w:t>上述四维统计特征从不同侧面完整刻画了当前流量窗口的运行工况：全局均值</w:t>
      </w:r>
      <m:oMath>
        <m:sSub>
          <m:e>
            <m:r>
              <m:rPr>
                <m:sty m:val="i"/>
              </m:rPr>
              <w:rPr>
                <w:rFonts w:ascii="Cambria Math" w:hAnsi="Cambria Math"/>
              </w:rPr>
              <m:t>μ</m:t>
            </m:r>
          </m:e>
          <m:sub>
            <m:r>
              <m:rPr>
                <m:sty m:val="i"/>
              </m:rPr>
              <w:rPr>
                <w:rFonts w:ascii="Cambria Math" w:hAnsi="Cambria Math"/>
              </w:rPr>
              <m:t>n</m:t>
            </m:r>
          </m:sub>
        </m:sSub>
      </m:oMath>
      <w:r>
        <w:t>表征当前窗口的整体业务负载水位，标准差</w:t>
      </w:r>
      <m:oMath>
        <m:sSub>
          <m:e>
            <m:r>
              <m:rPr>
                <m:sty m:val="i"/>
              </m:rPr>
              <w:rPr>
                <w:rFonts w:ascii="Cambria Math" w:hAnsi="Cambria Math"/>
              </w:rPr>
              <m:t>σ</m:t>
            </m:r>
          </m:e>
          <m:sub>
            <m:r>
              <m:rPr>
                <m:sty m:val="i"/>
              </m:rPr>
              <w:rPr>
                <w:rFonts w:ascii="Cambria Math" w:hAnsi="Cambria Math"/>
              </w:rPr>
              <m:t>n</m:t>
            </m:r>
          </m:sub>
        </m:sSub>
      </m:oMath>
      <w:r>
        <w:t>衡量窗口内的整体能量离散度与宏观波动幅度；末时刻均值</w:t>
      </w:r>
      <m:oMath>
        <m:sSub>
          <m:e>
            <m:r>
              <m:rPr>
                <m:sty m:val="i"/>
              </m:rPr>
              <w:rPr>
                <w:rFonts w:ascii="Cambria Math" w:hAnsi="Cambria Math"/>
              </w:rPr>
              <m:t>ℓ</m:t>
            </m:r>
          </m:e>
          <m:sub>
            <m:r>
              <m:rPr>
                <m:sty m:val="i"/>
              </m:rPr>
              <w:rPr>
                <w:rFonts w:ascii="Cambria Math" w:hAnsi="Cambria Math"/>
              </w:rPr>
              <m:t>n</m:t>
            </m:r>
          </m:sub>
        </m:sSub>
      </m:oMath>
      <w:r>
        <w:t>捕捉历史窗口向未来预测区间过渡时的最新静态边界水平，提供关键的近期锚点信息；平均绝对一阶差分</w:t>
      </w:r>
      <m:oMath>
        <m:sSub>
          <m:e>
            <m:r>
              <m:rPr>
                <m:sty m:val="i"/>
              </m:rPr>
              <w:rPr>
                <w:rFonts w:ascii="Cambria Math" w:hAnsi="Cambria Math"/>
              </w:rPr>
              <m:t>d</m:t>
            </m:r>
          </m:e>
          <m:sub>
            <m:r>
              <m:rPr>
                <m:sty m:val="i"/>
              </m:rPr>
              <w:rPr>
                <w:rFonts w:ascii="Cambria Math" w:hAnsi="Cambria Math"/>
              </w:rPr>
              <m:t>n</m:t>
            </m:r>
          </m:sub>
        </m:sSub>
      </m:oMath>
      <w:r>
        <w:t>则直接量化相邻小时之间的高频抖动剧烈程度。当网络处于夜间低谷或平稳运行期时，</w:t>
      </w:r>
      <m:oMath>
        <m:sSub>
          <m:e>
            <m:r>
              <m:rPr>
                <m:sty m:val="i"/>
              </m:rPr>
              <w:rPr>
                <w:rFonts w:ascii="Cambria Math" w:hAnsi="Cambria Math"/>
              </w:rPr>
              <m:t>σ</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较小，路由网络可提高粗尺度专家（</w:t>
      </w:r>
      <m:oMath>
        <m:r>
          <m:rPr>
            <m:sty m:val="i"/>
          </m:rPr>
          <w:rPr>
            <w:rFonts w:ascii="Cambria Math" w:hAnsi="Cambria Math"/>
          </w:rPr>
          <m:t>s</m:t>
        </m:r>
        <m:r>
          <m:rPr>
            <m:sty m:val="p"/>
          </m:rPr>
          <w:rPr>
            <w:rFonts w:ascii="Cambria Math" w:hAnsi="Cambria Math"/>
          </w:rPr>
          <m:t>=2,4</m:t>
        </m:r>
      </m:oMath>
      <w:r>
        <w:t>）的权重以抑制随机噪声；反之，当早晚高峰切换或突发流量涌入导致</w:t>
      </w:r>
      <m:oMath>
        <m:sSub>
          <m:e>
            <m:r>
              <m:rPr>
                <m:sty m:val="i"/>
              </m:rPr>
              <w:rPr>
                <w:rFonts w:ascii="Cambria Math" w:hAnsi="Cambria Math"/>
              </w:rPr>
              <m:t>ℓ</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激增时，路由网络能够迅速将权重向细粒度专家（</w:t>
      </w:r>
      <m:oMath>
        <m:r>
          <m:rPr>
            <m:sty m:val="i"/>
          </m:rPr>
          <w:rPr>
            <w:rFonts w:ascii="Cambria Math" w:hAnsi="Cambria Math"/>
          </w:rPr>
          <m:t>s</m:t>
        </m:r>
        <m:r>
          <m:rPr>
            <m:sty m:val="p"/>
          </m:rPr>
          <w:rPr>
            <w:rFonts w:ascii="Cambria Math" w:hAnsi="Cambria Math"/>
          </w:rPr>
          <m:t>=1</m:t>
        </m:r>
      </m:oMath>
      <w:r>
        <w:t>）倾斜，避免粗尺度平滑带来的相位滞后。通过在全变量间聚合这四个统计量，模型既规避了单变量局部异常噪点的误导，又将路由输入压缩至4维，从根本上杜绝了过拟合风险。</w:t>
      </w:r>
    </w:p>
    <w:p w14:paraId="372CD8CD" w14:textId="77777777" w:rsidR="00E86078" w:rsidRDefault="00000000">
      <w:pPr>
        <w:pStyle w:val="JournalBody"/>
      </w:pPr>
      <w:r>
        <w:t>式（</w:t>
      </w:r>
      <w:r>
        <w:t>9</w:t>
      </w:r>
      <w:r>
        <w:t>）和式（</w:t>
      </w:r>
      <w:r>
        <w:t>10</w:t>
      </w:r>
      <w:r>
        <w:t>）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TimesNet</w:t>
      </w:r>
      <w:r>
        <w:t>公开基准代码库的实现</w:t>
      </w:r>
      <w:r>
        <w:rPr>
          <w:vertAlign w:val="superscript"/>
        </w:rPr>
        <w:t>[8]</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进一步展示了本文方法相对于主流MLP架构LightTS的误差降幅与参数量级对比。在预测精度方面，本文方法在Abilene和GÉANT上的MSE平均相对降幅高达25.77%和43.74%，MAE平均相对降幅分别达12.66%和29.09%；在模型复杂度方面，LightTS的参数规模随OD变量增加而急剧膨胀（两套配置分别高达130162和384382个参数），而本文方法得益于变量间共享的多尺度映射与极简路由设计，参数量恒定为8339，仅为LightTS的6.41%和2.17%（即参数量大幅缩减93.59%和97.83%）。这充分证明本文方法以不到LightTS十五分之一乃至四十六分之一的参数代价，实现了近26%～44%的误差削减，在模型轻量化与预测精度之间取得了极具竞争力的帕累托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均取得全场最优：相较于单尺度DLinear，两套数据集的MSE平均相对降低2.77%和2.35%，Abilene上的MAE更是从0.189显著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一现象有力地证明：多尺度表征并非简单叠加即可奏效，粗粒度尺度（</w:t>
      </w:r>
      <m:oMath>
        <m:r>
          <m:rPr>
            <m:sty m:val="i"/>
          </m:rPr>
          <w:rPr>
            <w:rFonts w:ascii="Cambria Math" w:hAnsi="Cambria Math"/>
          </w:rPr>
          <m:t>s</m:t>
        </m:r>
        <m:r>
          <m:rPr>
            <m:sty m:val="p"/>
          </m:rPr>
          <w:rPr>
            <w:rFonts w:ascii="Cambria Math" w:hAnsi="Cambria Math"/>
          </w:rPr>
          <m:t>=2,4</m:t>
        </m:r>
      </m:oMath>
      <w:r>
        <w:t>）在提取平滑趋势的同时不可避免地损失了高频细节，若采用不随样本窗口变化的静态权重进行无差别融合，在流量剧烈波动的窗口中必然引入严重的平滑滞后偏差，导致多尺度负迁移。相比之下，“恒定输入路由”虽然保留了与本文完全相同的网络结构与参数量，但由于缺失真实窗口统计特征输入，退化为静态加权，同样无法遮掩性能下降，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14:paraId="0985F9B6" w14:textId="77777777" w:rsidR="002905B1" w:rsidRDefault="00000000">
      <w:pPr>
        <w:pStyle w:val="JournalBody"/>
      </w:pPr>
      <w:r>
        <w:t>总体预测误差反映所有目标点的平均表现，而网络容量需求分析还关心较高流量水平下的预测情况。因此，进一步从各</w:t>
      </w:r>
      <w:r>
        <w:t>OD</w:t>
      </w:r>
      <w:r>
        <w:t>变量的训练集分布确定高需求阈值，再用相同阈值筛选测试目标。对于这些目标点，除</w:t>
      </w:r>
      <w:r>
        <w:t>MAE</w:t>
      </w:r>
      <w:r>
        <w:t>外另计算平均低估误差（</w:t>
      </w:r>
      <w:r>
        <w:t>AUE</w:t>
      </w:r>
      <w:r>
        <w:t>），用于描述预测低于真实需求时的平均差额。</w:t>
      </w:r>
    </w:p>
    <w:p w:rsidR="00E86078" w:rsidRDefault="00000000">
      <w:pPr>
        <w:pStyle w:val="JournalBody"/>
      </w:pPr>
      <w:r>
        <w:t>在骨干网容量配置与流量工程中，高负载峰值时段的预测精度直接关系到链路拥塞控制与服务质量（QoS）保障，尤其当模型对高需求流量产生低估时，极易引发带宽分配不足与突发丢包。为此，以训练集各OD变量的第90百分位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为高需求阈值，构建测试集高需求样本点集合</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，并在</w:t>
      </w:r>
      <m:oMath>
        <m:r>
          <m:rPr>
            <m:sty m:val="i"/>
          </m:rPr>
          <w:rPr>
            <w:rFonts w:ascii="Cambria Math" w:hAnsi="Cambria Math"/>
          </w:rPr>
          <m:t>Ω</m:t>
        </m:r>
      </m:oMath>
      <w:r>
        <w:t>上重点考察高需求MAE与平均低估误差（average underestimation error，AUE）。其中，AUE专门量化预测值低于真实峰值时的短缺幅度，定义为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rsidR="00E86078" w:rsidRDefault="00000000">
      <w:pPr>
        <w:pStyle w:val="JournalBody"/>
      </w:pPr>
      <w:r>
        <w:t>式中，</w:t>
      </w:r>
      <m:oMath>
        <m:r>
          <m:rPr>
            <m:sty m:val="p"/>
          </m:rPr>
          <w:rPr>
            <w:rFonts w:ascii="Cambria Math" w:hAnsi="Cambria Math"/>
          </w:rPr>
          <m:t>|</m:t>
        </m:r>
        <m:r>
          <m:rPr>
            <m:sty m:val="i"/>
          </m:rPr>
          <w:rPr>
            <w:rFonts w:ascii="Cambria Math" w:hAnsi="Cambria Math"/>
          </w:rPr>
          <m:t>Ω</m:t>
        </m:r>
        <m:r>
          <m:rPr>
            <m:sty m:val="p"/>
          </m:rPr>
          <w:rPr>
            <w:rFonts w:ascii="Cambria Math" w:hAnsi="Cambria Math"/>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本文方法在两套数据集上的高需求MAE与平均低估误差均显著低于所有对照模型（Abilene上分别为0.147和0.137，GÉANT上分别为0.632和0.577）。同样值得注意的是，静态多尺度方法（固定等权、全局权重）在两套数据的高需求点上再次出现误差劣于单尺度DLinear的现象，原因在于均值池化削平了波峰，静态融合必然拉低峰值响应。而本文方法在Abilene上相较DLinear将高需求MAE与平均低估误差分别大幅降低13.96%和16.07%（相对固定等权更是降低约17.47%和20.84%）。这表明当窗口处于高负载爬升期时，路由特征中的末态均值</w:t>
      </w:r>
      <m:oMath>
        <m:sSub>
          <m:e>
            <m:r>
              <m:rPr>
                <m:sty m:val="i"/>
              </m:rPr>
              <w:rPr>
                <w:rFonts w:ascii="Cambria Math" w:hAnsi="Cambria Math"/>
              </w:rPr>
              <m:t>ℓ</m:t>
            </m:r>
          </m:e>
          <m:sub>
            <m:r>
              <m:rPr>
                <m:sty m:val="i"/>
              </m:rPr>
              <w:rPr>
                <w:rFonts w:ascii="Cambria Math" w:hAnsi="Cambria Math"/>
              </w:rPr>
              <m:t>n</m:t>
            </m:r>
          </m:sub>
        </m:sSub>
      </m:oMath>
      <w:r>
        <w:t>与均值</w:t>
      </w:r>
      <m:oMath>
        <m:sSub>
          <m:e>
            <m:r>
              <m:rPr>
                <m:sty m:val="i"/>
              </m:rPr>
              <w:rPr>
                <w:rFonts w:ascii="Cambria Math" w:hAnsi="Cambria Math"/>
              </w:rPr>
              <m:t>μ</m:t>
            </m:r>
          </m:e>
          <m:sub>
            <m:r>
              <m:rPr>
                <m:sty m:val="i"/>
              </m:rPr>
              <w:rPr>
                <w:rFonts w:ascii="Cambria Math" w:hAnsi="Cambria Math"/>
              </w:rPr>
              <m:t>n</m:t>
            </m:r>
          </m:sub>
        </m:sSub>
      </m:oMath>
      <w:r>
        <w:t>能够有效引导模型向保留完整波峰形态的细粒度专家赋权，从而显著缓解了传统多尺度模型常见的“削峰低估”弊端，具备更强的工程实用价值。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上展现出压倒性的性能优势，其测试集MSE和MAE分别为0.841±0.088和0.536±0.028，大幅领先于所有四种对照模型。具体而言，相较于单尺度DLinear，本文方法的MSE和MAE平均相对降幅分别高达23.16%和11.16%；相较于固定等权、全局权重与恒定路由三种多尺度对照，MSE更是大幅降低23.77%～26.11%，MAE降低11.19%～12.39%。同时，在</w:t>
      </w:r>
      <m:oMath>
        <m:r>
          <m:rPr>
            <m:sty m:val="i"/>
          </m:rPr>
          <w:rPr>
            <w:rFonts w:ascii="Cambria Math" w:hAnsi="Cambria Math"/>
          </w:rPr>
          <m:t>H</m:t>
        </m:r>
        <m:r>
          <m:rPr>
            <m:sty m:val="p"/>
          </m:rPr>
          <w:rPr>
            <w:rFonts w:ascii="Cambria Math" w:hAnsi="Cambria Math"/>
          </w:rPr>
          <m:t>=168</m:t>
        </m:r>
      </m:oMath>
      <w:r>
        <w:t>配置下，路由网络参数量仍保持131不变，仅占模型总参数量（57587）的0.23%。</w:t>
      </w:r>
    </w:p>
    <w:p w:rsidR="00E86078" w:rsidRDefault="00000000">
      <w:pPr>
        <w:pStyle w:val="JournalBody"/>
      </w:pPr>
      <w:r>
        <w:t>对比24 h与168 h任务可以发现，本文方法对DLinear的MSE降幅从2.35%跃升至23.16%（提升近10倍）。这是因为在长达一周（168步）的跨度下，单尺度模型极易受局部噪声误导而产生严重的远期趋势漂移；而本文方法依托粗尺度专家（</w:t>
      </w:r>
      <m:oMath>
        <m:r>
          <m:rPr>
            <m:sty m:val="i"/>
          </m:rPr>
          <w:rPr>
            <w:rFonts w:ascii="Cambria Math" w:hAnsi="Cambria Math"/>
          </w:rPr>
          <m:t>s</m:t>
        </m:r>
        <m:r>
          <m:rPr>
            <m:sty m:val="p"/>
          </m:rPr>
          <w:rPr>
            <w:rFonts w:ascii="Cambria Math" w:hAnsi="Cambria Math"/>
          </w:rPr>
          <m:t>=2,4</m:t>
        </m:r>
      </m:oMath>
      <w:r>
        <w:t>）提供的跨日宏观锚点与动态路由调控，有效抑制了长程预测中的误差累积效应。此外，图4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WU Haixu, HU Tengge, LIU Yong, et al. TimesNet: temporal 2D-variation modeling for general time series analysis[C/OL]//The Eleventh International Conference on Learning Representations. 2023[2026-10-21]. https://openreview.net/forum?id=ju_Uqw384Oq.</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 xml:space="preserve">Abstract: </w:t>
      </w:r>
      <w:r>
        <w:t>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Non-overlapping temporal aggregation constructs multiresolution inputs, and three independently parameterized decomposition linear models (DLinear) extract trend and residual components at each scale. A lightweight window router with only 131 parameters then extracts four time-domain statistics from each historical window to generate sample-specific multiscale fusion weights. Repeated experiments on the Abilene and GÉANT backbone-network datasets show that, for 24-hour forecasting, the proposed method achieves mean relative reductions in mean squared error (MSE) of 25.77% and 43.74%, respectively, using only 8,339 parameters, equivalent to 6.41% and 2.17% of the respective LightTS parameter counts. Compared with single-scale DLinear and static multiscale fusion strategies, the maximum MSE reduction reaches 4.97%. In addition, the average underestimation error at high-demand peak points on Abilene decreases by 16.07% relative to DLinear. For 168-hour forecasting on GÉANT, MSE and mean absolute error (MAE) decrease by 23.16% and 11.16%, respectively, relative to DLinear. These results provide a forecasting reference for backbone-network capacity planning and resource scheduling.</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