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逐随机种子结果进一步表明，Abilene上本文方法相对DLinear的MSE和MAE在随机种子42—44下均为3/3次降低；GÉANT相对DLinear时，两项指标均为2/3次降低，seed43出现退化，与表2所示较大的跨种子波动一致。相对LightTS时，两个数据集的MSE和MAE均在3/3个随机种子下取得更低误差。为同时呈现平均降幅和跨种子一致性，图2给出了本文方法相对两类基线的逐种子误差降低率；圆点表示单个随机种子，黑色菱形表示由3个共同随机种子均值计算的总体降幅，正值表示本文方法误差更低。其中，相对LightTS的MSE总体降幅在Abilene和GÉANT上分别为29.89%和46.83%，且三个随机种子全部保持正向改善。本文方法仅含8339个可训练参数，明显少于当前适配下的LightTS；但参数量仅反映模型规模，不等同于训练或推理速度。外部基线结果用于说明当前统一实验协议下的相对表现，不据此推断本文方法在其他任务上普遍优于LightTS。</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166360" cy="2319191"/>
            <wp:docPr id="23" name="图2 外部基线相对误差降低率" descr="Abilene和GÉANT上，本文方法相对DLinear与LightTS在随机种子42—44下的MSE和MAE相对降低率；圆点为单个随机种子，黑色菱形为3种子均值降幅。"/>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166360" cy="231919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本文方法相对DLinear和LightTS的三随机种子误差降低率</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3。图3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4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从图4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为进一步观察权重在具体测试样本上的动态变化，图5固定选取随机种子42，展示两个数据集测试集前150个窗口的三尺度权重。该选择规则在两数据集间保持一致，仅用于机制可视化，不参与模型优劣的统计比较。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5中三个尺度权重均随测试窗口发生变化，并未长期固定在1/3附近，与图4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5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可在较小参数增量下改善固定等权融合，并降低相对DLinear和LightTS的平均预测误差；跨随机种子比较和路由权重分析进一步表明，模型能够依据输入状态动态调整尺度组合。GÉANT上的跨种子波动仍较大。后续将扩展更多网络、预测长度及拓扑约束，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