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[10]</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[11]</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[6]</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TS-Zoo[7]</w:t>
      </w:r>
      <w:r>
        <w:rPr>
          <w:color w:val="000000"/>
          <w:szCs w:val="21"/>
        </w:rPr>
        <w:t>中的</w:t>
      </w:r>
      <w:r>
        <w:rPr>
          <w:color w:val="000000"/>
          <w:szCs w:val="21"/>
        </w:rPr>
        <w:t>Abilene[8]</w:t>
      </w:r>
      <w:r>
        <w:rPr>
          <w:color w:val="000000"/>
          <w:szCs w:val="21"/>
        </w:rPr>
        <w:t>和</w:t>
      </w:r>
      <w:r>
        <w:rPr>
          <w:color w:val="000000"/>
          <w:szCs w:val="21"/>
        </w:rPr>
        <w:t>GÉANT[9]</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两数据集的平均结果均表明，自适应多尺度融合能够在统一的数据划分、预处理和预测任务设置下降低预测误差。同时，本文方法仅含</w:t>
      </w:r>
      <w:r>
        <w:rPr>
          <w:color w:val="000000"/>
          <w:szCs w:val="21"/>
        </w:rPr>
        <w:t>8339</w:t>
      </w:r>
      <w:r>
        <w:rPr>
          <w:color w:val="000000"/>
          <w:szCs w:val="21"/>
        </w:rPr>
        <w:t>个可训练参数，明显少于当前适配下的</w:t>
      </w:r>
      <w:r>
        <w:rPr>
          <w:color w:val="000000"/>
          <w:szCs w:val="21"/>
        </w:rPr>
        <w:t>LightTS</w:t>
      </w:r>
      <w:r>
        <w:rPr>
          <w:color w:val="000000"/>
          <w:szCs w:val="21"/>
        </w:rPr>
        <w:t>；但参数量仅反映模型规模，不等同于训练或推理速度。此外，</w:t>
      </w:r>
      <w:r>
        <w:rPr>
          <w:color w:val="000000"/>
          <w:szCs w:val="21"/>
        </w:rPr>
        <w:t>GÉANT</w:t>
      </w:r>
      <w:r>
        <w:rPr>
          <w:color w:val="000000"/>
          <w:szCs w:val="21"/>
        </w:rPr>
        <w:t>上的标准差明显高于</w:t>
      </w:r>
      <w:r>
        <w:rPr>
          <w:color w:val="000000"/>
          <w:szCs w:val="21"/>
        </w:rPr>
        <w:t>Abilene</w:t>
      </w:r>
      <w:r>
        <w:rPr>
          <w:color w:val="000000"/>
          <w:szCs w:val="21"/>
        </w:rPr>
        <w:t>，因此外部基线结果用于说明当前统一实验协议下的相对表现，不据此推断本文方法在其他任务上普遍优于</w:t>
      </w:r>
      <w:r>
        <w:rPr>
          <w:color w:val="000000"/>
          <w:szCs w:val="21"/>
        </w:rPr>
        <w:t>LightTS</w:t>
      </w:r>
      <w:r>
        <w:rPr>
          <w:color w:val="000000"/>
          <w:szCs w:val="21"/>
        </w:rPr>
        <w:t>。</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及配对差值分布见图2。图2上排灰线连接同一随机种子下固定等权与自适应权重模型的MSE，黑色菱形及误差线表示8个随机种子的均值±标准差；下排以ΔMSE=固定等权−自适应权重表示效应方向，圆点表示各随机种子的配对差值，半小提琴表示差值分布，黑色圆点及误差线表示平均ΔMSE及其95%置信区间，其中ΔMSE&gt;0表示自适应权重模型的MSE更低。Abilene中，自适应模型在8个种子中的6个取得更低MSE，平均ΔMSE为0.00320，95%置信区间为[-0.00020,0.00660]，配对t检验p=0.061；GÉANT中为7个，平均ΔMSE为0.02094，95%置信区间为[-0.00958,0.05146]，p=0.149。两数据集的平均差值均为正，说明样本级自适应加权在平均意义上降低了MSE；但相对固定等权的95%置信区间均跨越0，因此不能表述为两数据集均达到统计显著。结合表3可见，Abilene上的跨种子波动较小，而GÉANT仍存在更明显的稳定性提升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从总体统计视角分析样本级路由器对不同时间尺度的权重分配，图3汇总了Abilene和GÉANT数据集在随机种子42—49下全部测试窗口的三尺度路由权重。图中小提琴轮廓表示样本级权重分布，彩色圆点表示各随机种子的平均权重，黑色菱形及误差线表示8个随机种子均值及标准差，灰色虚线为固定等权基准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图3 八随机种子下样本级自适应路由权重分布</w:t>
      </w:r>
    </w:p>
    <w:p>
      <w:pPr/>
      <w:r>
        <w:rPr>
          <w:color w:val="000000"/>
          <w:szCs w:val="21"/>
        </w:rPr>
        <w:t>从图3可以看出，两数据集的三尺度权重均呈非退化分布，并未长期固定在1/3。按8个随机种子的平均权重计算，Abilene的α1、α2和α4分别为0.257、0.319和0.424，GÉANT分别为0.283、0.318和0.399；两个数据集上尺度4的平均权重均最高，尺度1最低，尺度2整体接近等权基准。与此同时，不同随机种子的平均权重仍存在明显差异，其中Abilene的尺度2和尺度4离散程度更大。该结果说明路由器并非学习到单一固定尺度，而是在总体尺度偏好基础上保留了随训练初始化和输入样本变化的自适应调节能力。</w:t>
      </w:r>
    </w:p>
    <w:p>
      <w:pPr/>
      <w:r>
        <w:rPr>
          <w:color w:val="000000"/>
          <w:szCs w:val="21"/>
        </w:rPr>
        <w:t>为进一步观察权重在具体测试样本上的动态变化，图4固定选取随机种子42，展示两个数据集测试集前150个窗口的三尺度权重。该选择规则在两数据集间保持一致，仅用于机制可视化，不参与模型优劣的统计比较。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图4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4中三个尺度权重均随测试窗口发生变化，并未长期固定在1/3附近，与图3的总体分布结果相互印证，说明路由器能够依据输入窗口统计状态动态调整尺度组合。以随机种子42为例，两数据集均表现出较明显的尺度偏好变化；但不同随机种子的平均权重并不完全一致，因此不能将某一尺度解释为所有网络场景下持续占优的固定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7D35DC" w14:textId="77777777" w:rsidR="00B14FA3" w:rsidRPr="00B14FA3" w:rsidRDefault="00B14FA3" w:rsidP="00B14FA3">
      <w:r>
        <w:rPr>
          <w:color w:val="000000"/>
          <w:szCs w:val="21"/>
        </w:rPr>
        <w:t>综合表2、表3和图2—图4可见，样本级自适应尺度加权的平均收益已在Abilene和GÉANT两个骨干网数据集上得到验证，路由权重的总体分布与局部动态也表明模型确实在不同时间尺度之间进行自适应调节；但GÉANT上的跨种子方差更大，稳定性仍有提升空间。当前实验仅考察L=96、H=24的单一预测设置，未显式建模网络拓扑，外部模型也仅包含LightTS一种轻量基线；同时，“轻量”主要指参数规模，而非训练时间最短。因此，后续仍需在更多网络、预测长度和拓扑约束条件下进一步检验泛化性。</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2.6 代表性窗口预测结果</w:t>
      </w:r>
    </w:p>
    <w:p w14:paraId="0C8325AF" w14:textId="77777777" w:rsidR="00B14FA3" w:rsidRPr="00B14FA3" w:rsidRDefault="00B14FA3" w:rsidP="00B14FA3">
      <w:r>
        <w:rPr>
          <w:color w:val="000000"/>
          <w:szCs w:val="21"/>
        </w:rPr>
        <w:t>为直观展示模型的24步预测行为，图5固定随机种子42，并在两个数据集中选择本文方法窗口MAE最接近测试集中位数的窗口，再选择真实值波动最接近非恒定OD通道中位水平的通道。该规则选择典型而非最佳案例，不依据相对DLinear的优势筛选；流量采用与指标计算一致的标准化值。</w:t>
      </w:r>
    </w:p>
    <w:p>
      <w:pPr>
        <w:jc w:val="center"/>
        <w:keepNext/>
      </w:pPr>
      <w:r>
        <w:drawing>
          <wp:inline xmlns:a="http://schemas.openxmlformats.org/drawingml/2006/main" xmlns:pic="http://schemas.openxmlformats.org/drawingml/2006/picture">
            <wp:extent cx="5212080" cy="1864896"/>
            <wp:docPr id="23" name="图5 Abilene与GÉANT代表性预测窗口" descr="Abilene和GÉANT代表性测试窗口中真实值、DLinear与本文方法的24步标准化流量预测曲线。"/>
            <wp:cNvGraphicFramePr>
              <a:graphicFrameLocks noChangeAspect="1"/>
            </wp:cNvGraphicFramePr>
            <a:graphic>
              <a:graphicData uri="http://schemas.openxmlformats.org/drawingml/2006/picture">
                <pic:pic>
                  <pic:nvPicPr>
                    <pic:cNvPr id="0" name="fig5_representative_forecasts.png"/>
                    <pic:cNvPicPr/>
                  </pic:nvPicPr>
                  <pic:blipFill>
                    <a:blip r:embed="rId14"/>
                    <a:stretch>
                      <a:fillRect/>
                    </a:stretch>
                  </pic:blipFill>
                  <pic:spPr>
                    <a:xfrm>
                      <a:off x="0" y="0"/>
                      <a:ext cx="5212080" cy="1864896"/>
                    </a:xfrm>
                    <a:prstGeom prst="rect"/>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图5 Abilene与GÉANT代表性预测窗口的真实值与预测值对比（随机种子42）</w:t>
      </w:r>
    </w:p>
    <w:p w14:paraId="0C8325AF" w14:textId="77777777" w:rsidR="00B14FA3" w:rsidRPr="00B14FA3" w:rsidRDefault="00B14FA3" w:rsidP="00B14FA3">
      <w:r>
        <w:rPr>
          <w:color w:val="000000"/>
          <w:szCs w:val="21"/>
        </w:rPr>
        <w:t>Abilene代表窗口中，本文方法MAE为0.0680，低于DLinear的0.1057；GÉANT中两者分别为0.2094和0.2087，差异很小。两个面板显示模型能够跟随主要趋势，但对局部突发峰值存在平滑现象。图5仅作直观展示，不替代表2、表3的多随机种子总体比较。</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在Abilene和GÉANT上的实验表明，样本级自适应多尺度加权可在较小参数增量下改善固定等权融合，并降低相对DLinear和LightTS的平均预测误差；代表性窗口曲线进一步表明，模型能够跟随主要变化趋势，但对局部突发峰值仍存在平滑偏差。GÉANT跨种子波动较大。后续将扩展更多网络、预测长度及拓扑约束，以进一步检验稳定性与泛化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p w14:paraId="179C3C37" w14:textId="77777777" w:rsidR="00B14FA3" w:rsidRPr="00B14FA3" w:rsidRDefault="00B14FA3" w:rsidP="00B14FA3">
      <w:pPr>
        <w:ind w:left="420" w:hanging="420"/>
      </w:pPr>
    </w:p>
    <w:p w14:paraId="5FBEC971" w14:textId="77777777" w:rsidR="003E35DB" w:rsidRPr="00B14FA3" w:rsidRDefault="003E35DB" w:rsidP="00B14FA3"/>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