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图5固定随机种子42，在两个数据集中选择本文方法窗口MAE最接近测试集中位数的窗口，并选择真实值波动接近非恒定OD通道中位水平的通道。该规则选择典型而非最佳案例，不按相对DLinear优势筛选；流量采用标准化值。</w:t>
      </w:r>
    </w:p>
    <w:p>
      <w:pPr>
        <w:jc w:val="center"/>
        <w:keepNext/>
      </w:pPr>
      <w:r>
        <w:drawing>
          <wp:inline xmlns:a="http://schemas.openxmlformats.org/drawingml/2006/main" xmlns:pic="http://schemas.openxmlformats.org/drawingml/2006/picture">
            <wp:extent cx="4754880" cy="1701309"/>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4754880" cy="1701309"/>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Abilene代表窗口中，本文方法MAE为0.0680，低于DLinear的0.1057；GÉANT中两者分别为0.2094和0.2087，差异很小。两个面板显示主要趋势能够被跟随，但突发峰值存在平滑现象。图5仅作直观展示，不替代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可在较小参数增量下改善固定等权融合，并降低相对DLinear和LightTS的平均预测误差。代表性窗口显示模型能够跟随主要趋势，但对突发峰值仍存在平滑偏差；GÉANT跨种子波动较大。后续将扩展更多网络、预测长度及拓扑约束，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