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参数规模与推理效率</w:t>
      </w:r>
    </w:p>
    <w:p w14:paraId="0C8325AF" w14:textId="77777777" w:rsidR="00B14FA3" w:rsidRPr="00B14FA3" w:rsidRDefault="00B14FA3" w:rsidP="00B14FA3">
      <w:r>
        <w:rPr>
          <w:color w:val="000000"/>
          <w:szCs w:val="21"/>
        </w:rPr>
        <w:t>为补充仅以参数量表征轻量性的局限，本文加载随机种子42—49的已训练checkpoint进行推理效率测试，不再训练模型。测试平台为Intel Core i7-8750H CPU，PyTorch固定为单线程，批量大小为16；每个checkpoint先预热30批，再对完整测试集重复计时10次。计时仅覆盖预先载入内存的测试张量在模型中的前向传播，不包含磁盘读取、数据预处理和训练时间。表4报告8个checkpoint的均值±样本标准差。</w:t>
      </w:r>
    </w:p>
    <w:p w14:paraId="7719DA9B" w14:textId="77777777" w:rsidR="00B14FA3" w:rsidRPr="00B14FA3" w:rsidRDefault="00B14FA3" w:rsidP="00B14FA3">
      <w:pPr>
        <w:keepNext/>
        <w:spacing w:before="60" w:after="40"/>
        <w:ind w:firstLine="0"/>
        <w:jc w:val="center"/>
      </w:pPr>
      <w:r>
        <w:rPr>
          <w:rFonts w:eastAsia="黑体"/>
          <w:b/>
          <w:color w:val="000000"/>
          <w:sz w:val="18"/>
        </w:rPr>
        <w:t>表4 核心模型参数量与CPU单线程推理效率（批量大小16，n=8）</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平均批延迟/ms</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吞吐量/(样本·s⁻¹)</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16.86±1.13</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951.9±56.7</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31.24±0.40</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510.9±6.2</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自适应多尺度</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40.65±0.19</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392.4±1.6</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56.71±0.40</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274.5±1.9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101.53±2.69</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153.4±3.7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自适应多尺度</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131.35±1.25</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118.5±1.1</w:t>
            </w:r>
          </w:p>
        </w:tc>
      </w:tr>
    </w:tbl>
    <w:p w14:paraId="0C8325AF" w14:textId="77777777" w:rsidR="00B14FA3" w:rsidRPr="00B14FA3" w:rsidRDefault="00B14FA3" w:rsidP="00B14FA3">
      <w:r>
        <w:rPr>
          <w:color w:val="000000"/>
          <w:szCs w:val="21"/>
        </w:rPr>
        <w:t>由表4可见，自适应多尺度模型相对固定等权模型仅增加131个参数，占固定等权模型参数量的1.60%；其平均批延迟在Abilene和GÉANT上分别增加30.10%和29.36%，表明样本级路由虽具有很小的参数开销，但仍会产生额外计算。在本测试协议下，本文模型在两数据集上的吞吐量分别为392.4和118.5样本/s，低于DLinear但保持可量化的推理能力。因此，本文所称“轻量”主要指参数规模受控，不将该结果外推为端到端部署速度或跨硬件的效率优势。</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路由行为与适用范围</w:t>
      </w:r>
      <w:r>
        <w:rPr>
          <w:rFonts w:ascii="Arial" w:eastAsia="黑体" w:hAnsi="Arial"/>
          <w:b/>
          <w:bCs/>
          <w:color w:val="000000"/>
          <w:szCs w:val="21"/>
        </w:rPr>
      </w:r>
    </w:p>
    <w:p w14:paraId="0C8325AF" w14:textId="77777777" w:rsidR="00B14FA3" w:rsidRPr="00B14FA3" w:rsidRDefault="00B14FA3" w:rsidP="00B14FA3">
      <w:r>
        <w:rPr>
          <w:color w:val="000000"/>
          <w:szCs w:val="21"/>
        </w:rPr>
        <w:t>为从总体统计视角分析样本级路由器对不同时间尺度的权重分配，图3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图3 八随机种子下样本级自适应路由权重分布</w:t>
      </w:r>
    </w:p>
    <w:p>
      <w:pPr/>
      <w:r>
        <w:rPr>
          <w:color w:val="000000"/>
          <w:szCs w:val="21"/>
        </w:rPr>
        <w:t>从图3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为进一步观察权重在具体测试样本上的动态变化，图4固定选取随机种子42，展示两个数据集测试集前150个窗口的三尺度权重。该选择规则在两数据集间保持一致，仅用于机制可视化，不参与模型优劣的统计比较。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图4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4中三个尺度权重均随测试窗口发生变化，并未长期固定在1/3附近，与图3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4和图2—图4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在Abilene和GÉANT上的实验表明，样本级自适应多尺度加权可在较小参数增量下改善固定等权融合，并降低相对DLinear和LightTS的平均预测误差；CPU单线程测试进一步表明，本文模型在批量大小16时分别达到392.4和118.5样本/s，但其推理速度低于DLinear，故轻量性应限定为参数规模受控。GÉANT跨种子波动较大。后续将扩展更多网络、预测长度及拓扑约束，并在目标部署硬件上进一步检验稳定性与端到端效率。</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