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w:t>
      </w:r>
      <w:r>
        <w:rPr>
          <w:color w:val="000000"/>
          <w:szCs w:val="21"/>
        </w:rPr>
        <w:t>Abilene</w:t>
      </w:r>
      <w:r>
        <w:rPr>
          <w:color w:val="000000"/>
          <w:szCs w:val="21"/>
        </w:rPr>
        <w:t>和</w:t>
      </w:r>
      <w:r>
        <w:rPr>
          <w:color w:val="000000"/>
          <w:szCs w:val="21"/>
        </w:rPr>
        <w:t>GÉANT</w:t>
      </w:r>
      <w:r>
        <w:rPr>
          <w:color w:val="000000"/>
          <w:szCs w:val="21"/>
        </w:rPr>
        <w:t>上的实验表明，样本级自适应多尺度加权可在较小参数增量下改善固定等权融合，并降低相对</w:t>
      </w:r>
      <w:r>
        <w:rPr>
          <w:color w:val="000000"/>
          <w:szCs w:val="21"/>
        </w:rPr>
        <w:t>DLinear</w:t>
      </w:r>
      <w:r>
        <w:rPr>
          <w:color w:val="000000"/>
          <w:szCs w:val="21"/>
        </w:rPr>
        <w:t>和</w:t>
      </w:r>
      <w:r>
        <w:rPr>
          <w:color w:val="000000"/>
          <w:szCs w:val="21"/>
        </w:rPr>
        <w:t>LightTS</w:t>
      </w:r>
      <w:r>
        <w:rPr>
          <w:color w:val="000000"/>
          <w:szCs w:val="21"/>
        </w:rPr>
        <w:t>的平均预测误差；但</w:t>
      </w:r>
      <w:r>
        <w:rPr>
          <w:color w:val="000000"/>
          <w:szCs w:val="21"/>
        </w:rPr>
        <w:t>GÉANT</w:t>
      </w:r>
      <w:r>
        <w:rPr>
          <w:color w:val="000000"/>
          <w:szCs w:val="21"/>
        </w:rPr>
        <w:t>跨种子波动较大。后续将扩展更多网络、预测长度及拓扑约束，以进一步检验稳定性与泛化能力。</w:t>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