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w:t>
      </w:r>
      <w:r>
        <w:rPr>
          <w:color w:val="000000"/>
        </w:rPr>
        <w:t>为提高骨干网络源</w:t>
      </w:r>
      <w:r>
        <w:rPr>
          <w:color w:val="000000"/>
        </w:rPr>
        <w:t>—</w:t>
      </w:r>
      <w:r>
        <w:rPr>
          <w:color w:val="000000"/>
        </w:rPr>
        <w:t>目的节点对短期流量预测对不同时间尺度变化的适应能力，构建一种样本级自适应多尺度轻量预测方法。采用尺度</w:t>
      </w:r>
      <w:r>
        <w:rPr>
          <w:color w:val="000000"/>
        </w:rPr>
        <w:t>1</w:t>
      </w:r>
      <w:r>
        <w:rPr>
          <w:color w:val="000000"/>
        </w:rPr>
        <w:t>、</w:t>
      </w:r>
      <w:r>
        <w:rPr>
          <w:color w:val="000000"/>
        </w:rPr>
        <w:t>2</w:t>
      </w:r>
      <w:r>
        <w:rPr>
          <w:color w:val="000000"/>
        </w:rPr>
        <w:t>和</w:t>
      </w:r>
      <w:r>
        <w:rPr>
          <w:color w:val="000000"/>
        </w:rPr>
        <w:t>4</w:t>
      </w:r>
      <w:r>
        <w:rPr>
          <w:color w:val="000000"/>
        </w:rPr>
        <w:t>的非重叠平均池化生成多分辨率序列，由独立</w:t>
      </w:r>
      <w:r>
        <w:rPr>
          <w:color w:val="000000"/>
        </w:rPr>
        <w:t>DLinear</w:t>
      </w:r>
      <w:r>
        <w:rPr>
          <w:color w:val="000000"/>
        </w:rPr>
        <w:t>专家预测；提取窗口均值、标准差、末时刻均值和平均绝对一阶差分，经轻量路由网络生成</w:t>
      </w:r>
      <w:r>
        <w:rPr>
          <w:color w:val="000000"/>
        </w:rPr>
        <w:t>Softmax</w:t>
      </w:r>
      <w:r>
        <w:rPr>
          <w:color w:val="000000"/>
        </w:rPr>
        <w:t>权重，对各尺度结果动态融合。在</w:t>
      </w:r>
      <w:r>
        <w:rPr>
          <w:color w:val="000000"/>
        </w:rPr>
        <w:t>Abilene</w:t>
      </w:r>
      <w:r>
        <w:rPr>
          <w:color w:val="000000"/>
        </w:rPr>
        <w:t>和</w:t>
      </w:r>
      <w:r>
        <w:rPr>
          <w:color w:val="000000"/>
        </w:rPr>
        <w:t>GÉANT</w:t>
      </w:r>
      <w:r>
        <w:rPr>
          <w:color w:val="000000"/>
        </w:rPr>
        <w:t>数据集上，以</w:t>
      </w:r>
      <w:r>
        <w:rPr>
          <w:color w:val="000000"/>
        </w:rPr>
        <w:t>DLinear</w:t>
      </w:r>
      <w:r>
        <w:rPr>
          <w:color w:val="000000"/>
        </w:rPr>
        <w:t>、</w:t>
      </w:r>
      <w:r>
        <w:rPr>
          <w:color w:val="000000"/>
        </w:rPr>
        <w:t>LightTS</w:t>
      </w:r>
      <w:r>
        <w:rPr>
          <w:color w:val="000000"/>
        </w:rPr>
        <w:t>及固定等权多尺度模型为对比。共同</w:t>
      </w:r>
      <w:r>
        <w:rPr>
          <w:color w:val="000000"/>
        </w:rPr>
        <w:t>3</w:t>
      </w:r>
      <w:r>
        <w:rPr>
          <w:color w:val="000000"/>
        </w:rPr>
        <w:t>个随机种子下，所建方法的</w:t>
      </w:r>
      <w:r>
        <w:rPr>
          <w:color w:val="000000"/>
        </w:rPr>
        <w:t>MSE</w:t>
      </w:r>
      <w:r>
        <w:rPr>
          <w:color w:val="000000"/>
        </w:rPr>
        <w:t>较</w:t>
      </w:r>
      <w:r>
        <w:rPr>
          <w:color w:val="000000"/>
        </w:rPr>
        <w:t>DLinear</w:t>
      </w:r>
      <w:r>
        <w:rPr>
          <w:color w:val="000000"/>
        </w:rPr>
        <w:t>分别降低</w:t>
      </w:r>
      <w:r>
        <w:rPr>
          <w:color w:val="000000"/>
        </w:rPr>
        <w:t>4.06%</w:t>
      </w:r>
      <w:r>
        <w:rPr>
          <w:color w:val="000000"/>
        </w:rPr>
        <w:t>和</w:t>
      </w:r>
      <w:r>
        <w:rPr>
          <w:color w:val="000000"/>
        </w:rPr>
        <w:t>4.43%</w:t>
      </w:r>
      <w:r>
        <w:rPr>
          <w:color w:val="000000"/>
        </w:rPr>
        <w:t>，较</w:t>
      </w:r>
      <w:r>
        <w:rPr>
          <w:color w:val="000000"/>
        </w:rPr>
        <w:t>LightTS</w:t>
      </w:r>
      <w:r>
        <w:rPr>
          <w:color w:val="000000"/>
        </w:rPr>
        <w:t>分别降低</w:t>
      </w:r>
      <w:r>
        <w:rPr>
          <w:color w:val="000000"/>
        </w:rPr>
        <w:t>29.89%</w:t>
      </w:r>
      <w:r>
        <w:rPr>
          <w:color w:val="000000"/>
        </w:rPr>
        <w:t>和</w:t>
      </w:r>
      <w:r>
        <w:rPr>
          <w:color w:val="000000"/>
        </w:rPr>
        <w:t>46.83%</w:t>
      </w:r>
      <w:r>
        <w:rPr>
          <w:color w:val="000000"/>
        </w:rPr>
        <w:t>；</w:t>
      </w:r>
      <w:r>
        <w:rPr>
          <w:color w:val="000000"/>
        </w:rPr>
        <w:t>8</w:t>
      </w:r>
      <w:r>
        <w:rPr>
          <w:color w:val="000000"/>
        </w:rPr>
        <w:t>个随机种子的核心消融结果显示，相较固定等权融合，两数据集</w:t>
      </w:r>
      <w:r>
        <w:rPr>
          <w:color w:val="000000"/>
        </w:rPr>
        <w:t>MSE</w:t>
      </w:r>
      <w:r>
        <w:rPr>
          <w:color w:val="000000"/>
        </w:rPr>
        <w:t>分别降低</w:t>
      </w:r>
      <w:r>
        <w:rPr>
          <w:color w:val="000000"/>
        </w:rPr>
        <w:t>1.67%</w:t>
      </w:r>
      <w:r>
        <w:rPr>
          <w:color w:val="000000"/>
        </w:rPr>
        <w:t>和</w:t>
      </w:r>
      <w:r>
        <w:rPr>
          <w:color w:val="000000"/>
        </w:rPr>
        <w:t>4.68%</w:t>
      </w:r>
      <w:r>
        <w:rPr>
          <w:color w:val="000000"/>
        </w:rPr>
        <w:t>，其中</w:t>
      </w:r>
      <w:r>
        <w:rPr>
          <w:color w:val="000000"/>
        </w:rPr>
        <w:t>GÉANT</w:t>
      </w:r>
      <w:r>
        <w:rPr>
          <w:color w:val="000000"/>
        </w:rPr>
        <w:t>跨种子波动更大。结果表明，样本级动态尺度加权能够以较小参数增量利用不同时间分辨率的互补信息，但跨数据集稳定性仍需提升。</w:t>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 xml:space="preserve">Abstract: </w:t>
      </w:r>
      <w:r>
        <w:rPr>
          <w:rFonts w:eastAsia="Times New Roman"/>
          <w:color w:val="000000"/>
        </w:rPr>
        <w:t>A lightweight forecasting method based on sample-wise adaptive multiscale weighting was developed to improve the adaptability of short-term backbone origin-destination (OD) traffic forecasting to variations at different temporal scales. Non-overlapping average pooling at scales 1, 2, and 4 was used to construct multiresolution sequences, which were processed by independent DLinear experts. The window mean, standard deviation, mean at the latest time step, and mean absolute first difference were extracted and fed into a lightweight routing network to generate Softmax weights for dynamic fusion of the scale-wise forecasts. Experiments were conducted on the Abilene and GÉANT datasets, with DLinear, LightTS, and a fixed equal-weight multiscale model as baselines. Under three common random seeds, the proposed method reduced MSE by 4.06% and 4.43% relative to DLinear, and by 29.89% and 46.83% relative to LightTS on Abilene and GÉANT, respectively. In the eight-seed core ablation, MSE was reduced by 1.67% and 4.68% compared with fixed equal weighting, while GÉANT exhibited larger cross-seed variability. These results indicate that sample-wise adaptive scale weighting can exploit complementary temporal-resolution information with only a small parameter increase, although robustness across datasets remains to be improved.</w:t>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随着云计算、视频业务和数据中心互联等网络应用持续发展，骨干网络业务需求呈现明显的时变性、突发性和多时间尺度特征。源</w:t>
      </w:r>
      <w:r>
        <w:rPr>
          <w:color w:val="000000"/>
          <w:szCs w:val="21"/>
        </w:rPr>
        <w:t>—</w:t>
      </w:r>
      <w:r>
        <w:rPr>
          <w:color w:val="000000"/>
          <w:szCs w:val="21"/>
        </w:rPr>
        <w:t>目的节点对（</w:t>
      </w:r>
      <w:r>
        <w:rPr>
          <w:color w:val="000000"/>
          <w:szCs w:val="21"/>
        </w:rPr>
        <w:t>origin-destination</w:t>
      </w:r>
      <w:r>
        <w:rPr>
          <w:color w:val="000000"/>
          <w:szCs w:val="21"/>
        </w:rPr>
        <w:t>，</w:t>
      </w:r>
      <w:r>
        <w:rPr>
          <w:color w:val="000000"/>
          <w:szCs w:val="21"/>
        </w:rPr>
        <w:t>OD</w:t>
      </w:r>
      <w:r>
        <w:rPr>
          <w:color w:val="000000"/>
          <w:szCs w:val="21"/>
        </w:rPr>
        <w:t>）流量能够刻画网络入口与出口之间的业务需求，其短期预测结果可为容量规划、拥塞预警、流量工程和资源调度提供依据。网络流量预测方法已由传统统计模型逐步发展到机器学习和深度学习方法</w:t>
      </w:r>
      <w:r>
        <w:rPr>
          <w:color w:val="000000"/>
          <w:szCs w:val="21"/>
        </w:rPr>
        <w:t>[1]</w:t>
      </w:r>
      <w:r>
        <w:rPr>
          <w:color w:val="000000"/>
          <w:szCs w:val="21"/>
        </w:rPr>
        <w:t>。针对通信网络中的时空相关性，</w:t>
      </w:r>
      <w:r>
        <w:rPr>
          <w:color w:val="000000"/>
          <w:szCs w:val="21"/>
        </w:rPr>
        <w:t>Qin</w:t>
      </w:r>
      <w:r>
        <w:rPr>
          <w:color w:val="000000"/>
          <w:szCs w:val="21"/>
        </w:rPr>
        <w:t>等</w:t>
      </w:r>
      <w:r>
        <w:rPr>
          <w:color w:val="000000"/>
          <w:szCs w:val="21"/>
        </w:rPr>
        <w:t>[2]</w:t>
      </w:r>
      <w:r>
        <w:rPr>
          <w:color w:val="000000"/>
          <w:szCs w:val="21"/>
        </w:rPr>
        <w:t>采用图神经网络建模空间依赖关系；韦烜等</w:t>
      </w:r>
      <w:r>
        <w:rPr>
          <w:color w:val="000000"/>
          <w:szCs w:val="21"/>
        </w:rPr>
        <w:t>[10]</w:t>
      </w:r>
      <w:r>
        <w:rPr>
          <w:color w:val="000000"/>
          <w:szCs w:val="21"/>
        </w:rPr>
        <w:t>对大型互联网协议（</w:t>
      </w:r>
      <w:r>
        <w:rPr>
          <w:color w:val="000000"/>
          <w:szCs w:val="21"/>
        </w:rPr>
        <w:t>Internet Protocol</w:t>
      </w:r>
      <w:r>
        <w:rPr>
          <w:color w:val="000000"/>
          <w:szCs w:val="21"/>
        </w:rPr>
        <w:t>，</w:t>
      </w:r>
      <w:r>
        <w:rPr>
          <w:color w:val="000000"/>
          <w:szCs w:val="21"/>
        </w:rPr>
        <w:t>IP</w:t>
      </w:r>
      <w:r>
        <w:rPr>
          <w:color w:val="000000"/>
          <w:szCs w:val="21"/>
        </w:rPr>
        <w:t>）网络流量矩阵的分析</w:t>
      </w:r>
      <w:r>
        <w:rPr>
          <w:color w:val="000000"/>
          <w:szCs w:val="21"/>
        </w:rPr>
        <w:lastRenderedPageBreak/>
        <w:t>预测进行了研究。这类方法拓展了流量预测的建模能力，但对于仅利用历史</w:t>
      </w:r>
      <w:r>
        <w:rPr>
          <w:color w:val="000000"/>
          <w:szCs w:val="21"/>
        </w:rPr>
        <w:t>OD</w:t>
      </w:r>
      <w:r>
        <w:rPr>
          <w:color w:val="000000"/>
          <w:szCs w:val="21"/>
        </w:rPr>
        <w:t>流量、强调结构简洁和参数规模受控的应用场景，仍有必要探索更轻量的时序建模方式。</w:t>
      </w:r>
    </w:p>
    <w:p w14:paraId="3877C1F2" w14:textId="77777777" w:rsidR="00B14FA3" w:rsidRPr="00B14FA3" w:rsidRDefault="00B14FA3" w:rsidP="00B14FA3">
      <w:pPr>
        <w:rPr>
          <w:color w:val="000000"/>
        </w:rPr>
      </w:pPr>
      <w:r>
        <w:rPr>
          <w:color w:val="000000"/>
          <w:szCs w:val="21"/>
        </w:rPr>
        <w:t>网络流量在不同时间尺度上包含互补信息：细粒度序列保留局部变化，较粗粒度序列有助于突出相对平滑的趋势。</w:t>
      </w:r>
      <w:r>
        <w:rPr>
          <w:color w:val="000000"/>
          <w:szCs w:val="21"/>
        </w:rPr>
        <w:t>Zhou</w:t>
      </w:r>
      <w:r>
        <w:rPr>
          <w:color w:val="000000"/>
          <w:szCs w:val="21"/>
        </w:rPr>
        <w:t>等</w:t>
      </w:r>
      <w:r>
        <w:rPr>
          <w:color w:val="000000"/>
          <w:szCs w:val="21"/>
        </w:rPr>
        <w:t>[3]</w:t>
      </w:r>
      <w:r>
        <w:rPr>
          <w:color w:val="000000"/>
          <w:szCs w:val="21"/>
        </w:rPr>
        <w:t>利用多尺度回声状态网络提取不同时间尺度的流量特征；</w:t>
      </w:r>
      <w:r>
        <w:rPr>
          <w:color w:val="000000"/>
          <w:szCs w:val="21"/>
        </w:rPr>
        <w:t>TimeMixer</w:t>
      </w:r>
      <w:r>
        <w:rPr>
          <w:color w:val="000000"/>
          <w:szCs w:val="21"/>
        </w:rPr>
        <w:t>通过可分解多尺度混合实现不同分辨率信息交互</w:t>
      </w:r>
      <w:r>
        <w:rPr>
          <w:color w:val="000000"/>
          <w:szCs w:val="21"/>
        </w:rPr>
        <w:t>[5]</w:t>
      </w:r>
      <w:r>
        <w:rPr>
          <w:color w:val="000000"/>
          <w:szCs w:val="21"/>
        </w:rPr>
        <w:t>；</w:t>
      </w:r>
      <w:r>
        <w:rPr>
          <w:color w:val="000000"/>
          <w:szCs w:val="21"/>
        </w:rPr>
        <w:t>CycleLLH</w:t>
      </w:r>
      <w:r>
        <w:rPr>
          <w:color w:val="000000"/>
          <w:szCs w:val="21"/>
        </w:rPr>
        <w:t>从周期性整合角度改进网络流量预测</w:t>
      </w:r>
      <w:r>
        <w:rPr>
          <w:color w:val="000000"/>
          <w:szCs w:val="21"/>
        </w:rPr>
        <w:t>[11]</w:t>
      </w:r>
      <w:r>
        <w:rPr>
          <w:color w:val="000000"/>
          <w:szCs w:val="21"/>
        </w:rPr>
        <w:t>。在轻量时间序列预测方面，</w:t>
      </w:r>
      <w:r>
        <w:rPr>
          <w:color w:val="000000"/>
          <w:szCs w:val="21"/>
        </w:rPr>
        <w:t>DLinear</w:t>
      </w:r>
      <w:r>
        <w:rPr>
          <w:color w:val="000000"/>
          <w:szCs w:val="21"/>
        </w:rPr>
        <w:t>通过趋势项与余项分解配合线性映射实现多步预测</w:t>
      </w:r>
      <w:r>
        <w:rPr>
          <w:color w:val="000000"/>
          <w:szCs w:val="21"/>
        </w:rPr>
        <w:t>[4]</w:t>
      </w:r>
      <w:r>
        <w:rPr>
          <w:color w:val="000000"/>
          <w:szCs w:val="21"/>
        </w:rPr>
        <w:t>；</w:t>
      </w:r>
      <w:r>
        <w:rPr>
          <w:color w:val="000000"/>
          <w:szCs w:val="21"/>
        </w:rPr>
        <w:t>LightTS</w:t>
      </w:r>
      <w:r>
        <w:rPr>
          <w:color w:val="000000"/>
          <w:szCs w:val="21"/>
        </w:rPr>
        <w:t>采用连续采样和间隔采样配合多层感知机结构，以较低计算开销建模多变量时间序列</w:t>
      </w:r>
      <w:r>
        <w:rPr>
          <w:color w:val="000000"/>
          <w:szCs w:val="21"/>
        </w:rPr>
        <w:t>[6]</w:t>
      </w:r>
      <w:r>
        <w:rPr>
          <w:color w:val="000000"/>
          <w:szCs w:val="21"/>
        </w:rPr>
        <w:t>。这些研究说明，多尺度表征与简洁预测结构均具有应用潜力，也为在参数规模受控条件下进一步研究尺度融合提供了基础。</w:t>
      </w:r>
    </w:p>
    <w:p w14:paraId="65582279" w14:textId="77777777" w:rsidR="00B14FA3" w:rsidRPr="00B14FA3" w:rsidRDefault="00B14FA3" w:rsidP="00B14FA3">
      <w:pPr>
        <w:rPr>
          <w:color w:val="000000"/>
        </w:rPr>
      </w:pPr>
      <w:r>
        <w:rPr>
          <w:color w:val="000000"/>
          <w:szCs w:val="21"/>
        </w:rPr>
        <w:t>现有研究分别从拓扑关联、多尺度表征和轻量序列建模等角度提升预测能力，但在不显式依赖网络拓扑的历史</w:t>
      </w:r>
      <w:r>
        <w:rPr>
          <w:color w:val="000000"/>
          <w:szCs w:val="21"/>
        </w:rPr>
        <w:t>OD</w:t>
      </w:r>
      <w:r>
        <w:rPr>
          <w:color w:val="000000"/>
          <w:szCs w:val="21"/>
        </w:rPr>
        <w:t>序列预测场景中，如何根据当前输入窗口的状态动态确定不同时间尺度的重要性，仍值得进一步研究。为此，本文构建基于</w:t>
      </w:r>
      <w:r>
        <w:rPr>
          <w:color w:val="000000"/>
          <w:szCs w:val="21"/>
        </w:rPr>
        <w:t>DLinear</w:t>
      </w:r>
      <w:r>
        <w:rPr>
          <w:color w:val="000000"/>
          <w:szCs w:val="21"/>
        </w:rPr>
        <w:t>尺度专家的样本级自适应多尺度预测方法：采用尺度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构造多分辨率序列，由独立尺度专家生成候选预测，再从输入窗口提取均值、标准差、末时刻均值和平均绝对一阶差分，通过轻量路由网络生成</w:t>
      </w:r>
      <w:r>
        <w:rPr>
          <w:color w:val="000000"/>
          <w:szCs w:val="21"/>
        </w:rPr>
        <w:t>Softmax</w:t>
      </w:r>
      <w:r>
        <w:rPr>
          <w:color w:val="000000"/>
          <w:szCs w:val="21"/>
        </w:rPr>
        <w:t>权重，实现样本级动态融合。实验在</w:t>
      </w:r>
      <w:r>
        <w:rPr>
          <w:color w:val="000000"/>
          <w:szCs w:val="21"/>
        </w:rPr>
        <w:t>Abilene</w:t>
      </w:r>
      <w:r>
        <w:rPr>
          <w:color w:val="000000"/>
          <w:szCs w:val="21"/>
        </w:rPr>
        <w:t>和</w:t>
      </w:r>
      <w:r>
        <w:rPr>
          <w:color w:val="000000"/>
          <w:szCs w:val="21"/>
        </w:rPr>
        <w:t>GÉANT</w:t>
      </w:r>
      <w:r>
        <w:rPr>
          <w:color w:val="000000"/>
          <w:szCs w:val="21"/>
        </w:rPr>
        <w:t>两个骨干网数据集上开展，并引入</w:t>
      </w:r>
      <w:r>
        <w:rPr>
          <w:color w:val="000000"/>
          <w:szCs w:val="21"/>
        </w:rPr>
        <w:t>DLinear</w:t>
      </w:r>
      <w:r>
        <w:rPr>
          <w:color w:val="000000"/>
          <w:szCs w:val="21"/>
        </w:rPr>
        <w:t>、</w:t>
      </w:r>
      <w:r>
        <w:rPr>
          <w:color w:val="000000"/>
          <w:szCs w:val="21"/>
        </w:rPr>
        <w:t>LightTS</w:t>
      </w:r>
      <w:r>
        <w:rPr>
          <w:color w:val="000000"/>
          <w:szCs w:val="21"/>
        </w:rPr>
        <w:t>和固定等权多尺度模型进行比较；同时使用</w:t>
      </w:r>
      <w:r>
        <w:rPr>
          <w:color w:val="000000"/>
          <w:szCs w:val="21"/>
        </w:rPr>
        <w:t>8</w:t>
      </w:r>
      <w:r>
        <w:rPr>
          <w:color w:val="000000"/>
          <w:szCs w:val="21"/>
        </w:rPr>
        <w:t>个随机种子分析核心机制的稳定性，以检验性能改善是否来自样本级自适应尺度加权。</w:t>
      </w:r>
    </w:p>
    <w:p w14:paraId="012F79B1" w14:textId="77777777" w:rsidR="00B14FA3" w:rsidRPr="00B14FA3" w:rsidRDefault="00B14FA3" w:rsidP="00B14FA3"/>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本文方法由数据预处理、多尺度序列构造、</w:t>
      </w:r>
      <w:r>
        <w:rPr>
          <w:color w:val="000000"/>
          <w:szCs w:val="21"/>
        </w:rPr>
        <w:t>DLinear</w:t>
      </w:r>
      <w:r>
        <w:rPr>
          <w:color w:val="000000"/>
          <w:szCs w:val="21"/>
        </w:rPr>
        <w:t>尺度专家、样本级统计路由和自适应预测融合五部分组成。输入窗口经尺度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构造不同时间分辨率，由三个独立</w:t>
      </w:r>
      <w:r>
        <w:rPr>
          <w:color w:val="000000"/>
          <w:szCs w:val="21"/>
        </w:rPr>
        <w:t>DLinear</w:t>
      </w:r>
      <w:r>
        <w:rPr>
          <w:color w:val="000000"/>
          <w:szCs w:val="21"/>
        </w:rPr>
        <w:t>专家分别预测；路由器依据原始窗口统计状态生成</w:t>
      </w:r>
      <w:r>
        <w:rPr>
          <w:color w:val="000000"/>
          <w:szCs w:val="21"/>
        </w:rPr>
        <w:t>Softmax</w:t>
      </w:r>
      <w:r>
        <w:rPr>
          <w:color w:val="000000"/>
          <w:szCs w:val="21"/>
        </w:rPr>
        <w:t>尺度权重，对专家输出进行样本级动态加权。整体流程如图</w:t>
      </w:r>
      <w:r>
        <w:rPr>
          <w:color w:val="000000"/>
          <w:szCs w:val="21"/>
        </w:rPr>
        <w:t>1</w:t>
      </w:r>
      <w:r>
        <w:rPr>
          <w:color w:val="000000"/>
          <w:szCs w:val="21"/>
        </w:rPr>
        <w:t>所示。</w:t>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rPr>
          <w:szCs w:val="21"/>
        </w:rPr>
        <w:t>设预处理后的多变量流量序列为</w:t>
      </w:r>
      <w:r>
        <w:rPr>
          <w:szCs w:val="21"/>
        </w:rPr>
        <w:t xml:space="preserve"> </w:t>
      </w:r>
      <w:r>
        <w:rPr>
          <w:i/>
          <w:iCs/>
          <w:szCs w:val="21"/>
        </w:rPr>
        <w:t>x</w:t>
      </w:r>
      <w:r>
        <w:rPr>
          <w:i/>
          <w:iCs/>
          <w:szCs w:val="21"/>
          <w:vertAlign w:val="subscript"/>
        </w:rPr>
        <w:t>t</w:t>
      </w:r>
      <w:r>
        <w:rPr>
          <w:szCs w:val="21"/>
        </w:rPr>
        <w:t>∈</w:t>
      </w:r>
      <w:r>
        <w:rPr>
          <w:i/>
          <w:iCs/>
          <w:szCs w:val="21"/>
        </w:rPr>
        <w:t>R</w:t>
      </w:r>
      <w:r>
        <w:rPr>
          <w:i/>
          <w:iCs/>
          <w:szCs w:val="21"/>
          <w:vertAlign w:val="superscript"/>
        </w:rPr>
        <w:t>C</w:t>
      </w:r>
      <w:r>
        <w:rPr>
          <w:szCs w:val="21"/>
        </w:rPr>
        <w:t>，其中</w:t>
      </w:r>
      <w:r>
        <w:rPr>
          <w:i/>
          <w:iCs/>
          <w:szCs w:val="21"/>
        </w:rPr>
        <w:t>t</w:t>
      </w:r>
      <w:r>
        <w:rPr>
          <w:szCs w:val="21"/>
        </w:rPr>
        <w:t>为时间索引，</w:t>
      </w:r>
      <w:r>
        <w:rPr>
          <w:i/>
          <w:iCs/>
          <w:szCs w:val="21"/>
        </w:rPr>
        <w:t>C</w:t>
      </w:r>
      <w:r>
        <w:rPr>
          <w:szCs w:val="21"/>
        </w:rPr>
        <w:t>为</w:t>
      </w:r>
      <w:r>
        <w:rPr>
          <w:szCs w:val="21"/>
        </w:rPr>
        <w:t>OD</w:t>
      </w:r>
      <w:r>
        <w:rPr>
          <w:szCs w:val="21"/>
        </w:rPr>
        <w:t>变量数。第</w:t>
      </w:r>
      <w:r>
        <w:rPr>
          <w:i/>
          <w:iCs/>
          <w:szCs w:val="21"/>
        </w:rPr>
        <w:t>n</w:t>
      </w:r>
      <w:r>
        <w:rPr>
          <w:szCs w:val="21"/>
        </w:rPr>
        <w:t>个样本的输入和目标分别为</w:t>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sSubPr>
            <m:ctrlPr>
              <w:rPr>
                <w:rFonts w:ascii="Cambria Math" w:eastAsia="Cambria Math" w:hAnsi="Cambria Math"/>
                <w:i/>
              </w:rPr>
            </m:ctrlPr>
          </m:sSubPr>
          <m:e>
            <m:r>
              <m:rPr>
                <m:sty m:val="bi"/>
              </m:rP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L×C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Y</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n+L+H-1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H×C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rPr>
          <w:szCs w:val="21"/>
        </w:rPr>
        <w:t>本文取输入长度</w:t>
      </w:r>
      <w:r>
        <w:rPr>
          <w:i/>
          <w:iCs/>
          <w:szCs w:val="21"/>
        </w:rPr>
        <w:t>L</w:t>
      </w:r>
      <w:r>
        <w:rPr>
          <w:szCs w:val="21"/>
        </w:rPr>
        <w:t>=96</w:t>
      </w:r>
      <w:r>
        <w:rPr>
          <w:szCs w:val="21"/>
        </w:rPr>
        <w:t>、预测长度</w:t>
      </w:r>
      <w:r>
        <w:rPr>
          <w:i/>
          <w:iCs/>
          <w:szCs w:val="21"/>
        </w:rPr>
        <w:t>H</w:t>
      </w:r>
      <w:r>
        <w:rPr>
          <w:szCs w:val="21"/>
        </w:rPr>
        <w:t>=24</w:t>
      </w:r>
      <w:r>
        <w:rPr>
          <w:szCs w:val="21"/>
        </w:rPr>
        <w:t>、变量数</w:t>
      </w:r>
      <w:r>
        <w:rPr>
          <w:i/>
          <w:iCs/>
          <w:szCs w:val="21"/>
        </w:rPr>
        <w:t>C</w:t>
      </w:r>
      <w:r>
        <w:rPr>
          <w:szCs w:val="21"/>
        </w:rPr>
        <w:t>随具体数据集的有效</w:t>
      </w:r>
      <w:r>
        <w:rPr>
          <w:szCs w:val="21"/>
        </w:rPr>
        <w:t>OD</w:t>
      </w:r>
      <w:r>
        <w:rPr>
          <w:szCs w:val="21"/>
        </w:rPr>
        <w:t>维度确定，学习映射</w:t>
      </w:r>
      <w:r>
        <w:rPr>
          <w:b/>
          <w:bCs/>
          <w:i/>
          <w:iCs/>
          <w:szCs w:val="21"/>
        </w:rPr>
        <w:t>Ŷ</w:t>
      </w:r>
      <w:r>
        <w:rPr>
          <w:i/>
          <w:iCs/>
          <w:szCs w:val="21"/>
          <w:vertAlign w:val="subscript"/>
        </w:rPr>
        <w:t>n</w:t>
      </w:r>
      <w:r>
        <w:rPr>
          <w:szCs w:val="21"/>
        </w:rPr>
        <w:t>=</w:t>
      </w:r>
      <w:r>
        <w:rPr>
          <w:i/>
          <w:iCs/>
          <w:szCs w:val="21"/>
        </w:rPr>
        <w:t>f</w:t>
      </w:r>
      <w:r>
        <w:rPr>
          <w:i/>
          <w:iCs/>
          <w:szCs w:val="21"/>
          <w:vertAlign w:val="subscript"/>
        </w:rPr>
        <w:t>θ</w:t>
      </w:r>
      <w:r>
        <w:rPr>
          <w:szCs w:val="21"/>
        </w:rPr>
        <w:t>(</w:t>
      </w:r>
      <w:r>
        <w:rPr>
          <w:b/>
          <w:bCs/>
          <w:i/>
          <w:iCs/>
          <w:szCs w:val="21"/>
        </w:rPr>
        <w:t>X</w:t>
      </w:r>
      <w:r>
        <w:rPr>
          <w:i/>
          <w:iCs/>
          <w:szCs w:val="21"/>
          <w:vertAlign w:val="subscript"/>
        </w:rPr>
        <w:t>n</w:t>
      </w:r>
      <w:r>
        <w:rPr>
          <w:szCs w:val="21"/>
        </w:rPr>
        <w:t>)</w:t>
      </w:r>
      <w:r>
        <w:rPr>
          <w:szCs w:val="21"/>
        </w:rPr>
        <w:t>。原始非负流量</w:t>
      </w:r>
      <w:r>
        <w:rPr>
          <w:i/>
          <w:iCs/>
          <w:szCs w:val="21"/>
        </w:rPr>
        <w:t>v</w:t>
      </w:r>
      <w:r>
        <w:rPr>
          <w:i/>
          <w:iCs/>
          <w:szCs w:val="21"/>
          <w:vertAlign w:val="subscript"/>
        </w:rPr>
        <w:t>t,c</w:t>
      </w:r>
      <w:r>
        <w:rPr>
          <w:szCs w:val="21"/>
        </w:rPr>
        <w:t>先作对数变换</w:t>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unc>
          <m:funcPr>
            <m:ctrlPr>
              <w:rPr>
                <w:rFonts w:ascii="Cambria Math" w:eastAsia="Cambria Math" w:hAnsi="Cambria Math"/>
              </w:rPr>
            </m:ctrlPr>
          </m:funcPr>
          <m:fName>
            <m:r>
              <m:rPr>
                <m:sty m:val="p"/>
              </m:rPr>
              <w:rPr>
                <w:rFonts w:ascii="Cambria Math" w:eastAsia="Cambria Math" w:hAnsi="Cambria Math"/>
                <w:kern w:val="0"/>
                <w:szCs w:val="20"/>
              </w:rPr>
              <m:t>log</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1+</m:t>
                </m:r>
                <m:sSub>
                  <m:sSubPr>
                    <m:ctrlPr>
                      <w:rPr>
                        <w:rFonts w:ascii="Cambria Math" w:eastAsia="Cambria Math" w:hAnsi="Cambria Math"/>
                        <w:i/>
                      </w:rPr>
                    </m:ctrlPr>
                  </m:sSubPr>
                  <m:e>
                    <m:r>
                      <w:rPr>
                        <w:rFonts w:ascii="Cambria Math" w:eastAsia="Cambria Math" w:hAnsi="Cambria Math"/>
                        <w:kern w:val="0"/>
                        <w:szCs w:val="20"/>
                      </w:rPr>
                      <m:t>v</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μ</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num>
          <m:den>
            <m:sSubSup>
              <m:sSubSupPr>
                <m:ctrlPr>
                  <w:rPr>
                    <w:rFonts w:ascii="Cambria Math" w:eastAsia="Cambria Math" w:hAnsi="Cambria Math"/>
                    <w:i/>
                  </w:rPr>
                </m:ctrlPr>
              </m:sSubSupPr>
              <m:e>
                <m:r>
                  <w:rPr>
                    <w:rFonts w:ascii="Cambria Math" w:eastAsia="Cambria Math" w:hAnsi="Cambria Math"/>
                    <w:kern w:val="0"/>
                    <w:szCs w:val="20"/>
                  </w:rPr>
                  <m:t>σ</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den>
        </m:f>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rPr>
          <w:szCs w:val="21"/>
        </w:rPr>
        <w:t>其中</w:t>
      </w:r>
      <w:r>
        <w:rPr>
          <w:i/>
          <w:iCs/>
          <w:szCs w:val="21"/>
        </w:rPr>
        <w:t>μ</w:t>
      </w:r>
      <w:r>
        <w:rPr>
          <w:i/>
          <w:iCs/>
          <w:szCs w:val="21"/>
          <w:vertAlign w:val="subscript"/>
        </w:rPr>
        <w:t>c</w:t>
      </w:r>
      <w:r>
        <w:rPr>
          <w:szCs w:val="21"/>
          <w:vertAlign w:val="superscript"/>
        </w:rPr>
        <w:t>tr</w:t>
      </w:r>
      <w:r>
        <w:rPr>
          <w:szCs w:val="21"/>
        </w:rPr>
        <w:t>和</w:t>
      </w:r>
      <w:r>
        <w:rPr>
          <w:i/>
          <w:iCs/>
          <w:szCs w:val="21"/>
        </w:rPr>
        <w:t>σ</w:t>
      </w:r>
      <w:r>
        <w:rPr>
          <w:i/>
          <w:iCs/>
          <w:szCs w:val="21"/>
          <w:vertAlign w:val="subscript"/>
        </w:rPr>
        <w:t>c</w:t>
      </w:r>
      <w:r>
        <w:rPr>
          <w:szCs w:val="21"/>
          <w:vertAlign w:val="superscript"/>
        </w:rPr>
        <w:t>tr</w:t>
      </w:r>
      <w:r>
        <w:rPr>
          <w:szCs w:val="21"/>
        </w:rPr>
        <w:t>只由训练集计算，再用于验证集和测试集，避免未来信息进入训练过程。时间点按</w:t>
      </w:r>
      <w:r>
        <w:rPr>
          <w:szCs w:val="21"/>
        </w:rPr>
        <w:t>6∶2∶2</w:t>
      </w:r>
      <w:r>
        <w:rPr>
          <w:szCs w:val="21"/>
        </w:rPr>
        <w:t>顺序划分，不随机打乱原始时间位置；每个集合内部独立构造滑动窗口，避免跨边界使用数据。</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spacing w:line="360" w:lineRule="auto"/>
      </w:pPr>
      <w:r w:rsidRPr="00B14FA3">
        <w:rPr>
          <w:szCs w:val="21"/>
        </w:rPr>
        <w:t>设尺度集合</w:t>
      </w:r>
      <w:r w:rsidRPr="00B14FA3">
        <w:rPr>
          <w:szCs w:val="21"/>
        </w:rPr>
        <w:t>S={1,2,4}</w:t>
      </w:r>
      <w:r w:rsidRPr="00B14FA3">
        <w:rPr>
          <w:szCs w:val="21"/>
        </w:rPr>
        <w:t>。对尺度</w:t>
      </w:r>
      <w:r w:rsidRPr="00B14FA3">
        <w:rPr>
          <w:szCs w:val="21"/>
        </w:rPr>
        <w:t>s</w:t>
      </w:r>
      <w:r w:rsidRPr="00B14FA3">
        <w:rPr>
          <w:szCs w:val="21"/>
        </w:rPr>
        <w:t>，使用窗口大小和步长均为</w:t>
      </w:r>
      <w:r w:rsidRPr="00B14FA3">
        <w:rPr>
          <w:szCs w:val="21"/>
        </w:rPr>
        <w:t>s</w:t>
      </w:r>
      <w:r w:rsidRPr="00B14FA3">
        <w:rPr>
          <w:szCs w:val="21"/>
        </w:rPr>
        <w:t>的非重叠平均池化：</w:t>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s</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i=0</m:t>
                    </m:r>
                  </m:e>
                </m:d>
              </m:e>
              <m:sub>
                <m:d>
                  <m:dPr>
                    <m:begChr m:val="{"/>
                    <m:endChr m:val="}"/>
                    <m:ctrlPr>
                      <w:rPr>
                        <w:rFonts w:ascii="Cambria Math" w:eastAsia="Cambria Math" w:hAnsi="Cambria Math"/>
                        <w:i/>
                      </w:rPr>
                    </m:ctrlPr>
                  </m:dPr>
                  <m:e>
                    <m:r>
                      <w:rPr>
                        <w:rFonts w:ascii="Cambria Math" w:eastAsia="Cambria Math" w:hAnsi="Cambria Math"/>
                        <w:kern w:val="0"/>
                        <w:szCs w:val="20"/>
                      </w:rPr>
                      <m:t>n,st+i</m:t>
                    </m:r>
                  </m:e>
                </m:d>
              </m:sub>
              <m:sup>
                <m:d>
                  <m:dPr>
                    <m:begChr m:val="{"/>
                    <m:endChr m:val="}"/>
                    <m:ctrlPr>
                      <w:rPr>
                        <w:rFonts w:ascii="Cambria Math" w:eastAsia="Cambria Math" w:hAnsi="Cambria Math"/>
                        <w:i/>
                      </w:rPr>
                    </m:ctrlPr>
                  </m:dPr>
                  <m:e>
                    <m:r>
                      <w:rPr>
                        <w:rFonts w:ascii="Cambria Math" w:eastAsia="Cambria Math" w:hAnsi="Cambria Math"/>
                        <w:kern w:val="0"/>
                        <w:szCs w:val="20"/>
                      </w:rPr>
                      <m:t>s-1</m:t>
                    </m:r>
                  </m:e>
                </m:d>
                <m:r>
                  <m:rPr>
                    <m:sty m:val="bi"/>
                  </m:rPr>
                  <w:rPr>
                    <w:rFonts w:ascii="Cambria Math" w:eastAsia="Cambria Math" w:hAnsi="Cambria Math"/>
                    <w:kern w:val="0"/>
                    <w:szCs w:val="20"/>
                  </w:rPr>
                  <m:t>X</m:t>
                </m:r>
              </m:sup>
            </m:sSubSup>
          </m:sub>
        </m:sSub>
        <m:r>
          <w:rPr>
            <w:rFonts w:ascii="Cambria Math" w:eastAsia="Cambria Math" w:hAnsi="Cambria Math"/>
            <w:kern w:val="0"/>
            <w:szCs w:val="20"/>
          </w:rPr>
          <m:t>,     t=0,…,</m:t>
        </m:r>
        <m:f>
          <m:fPr>
            <m:ctrlPr>
              <w:rPr>
                <w:rFonts w:ascii="Cambria Math" w:eastAsia="Cambria Math" w:hAnsi="Cambria Math"/>
                <w:i/>
              </w:rPr>
            </m:ctrlPr>
          </m:fPr>
          <m:num>
            <m:r>
              <w:rPr>
                <w:rFonts w:ascii="Cambria Math" w:eastAsia="Cambria Math" w:hAnsi="Cambria Math"/>
                <w:kern w:val="0"/>
                <w:szCs w:val="20"/>
              </w:rPr>
              <m:t>L</m:t>
            </m:r>
          </m:num>
          <m:den>
            <m:r>
              <w:rPr>
                <w:rFonts w:ascii="Cambria Math" w:eastAsia="Cambria Math" w:hAnsi="Cambria Math"/>
                <w:kern w:val="0"/>
                <w:szCs w:val="20"/>
              </w:rPr>
              <m:t>s</m:t>
            </m:r>
          </m:den>
        </m:f>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三个尺度的输入长度依次为</w:t>
      </w:r>
      <w:r w:rsidRPr="00B14FA3">
        <w:rPr>
          <w:szCs w:val="21"/>
        </w:rPr>
        <w:t>96</w:t>
      </w:r>
      <w:r w:rsidRPr="00B14FA3">
        <w:rPr>
          <w:szCs w:val="21"/>
        </w:rPr>
        <w:t>、</w:t>
      </w:r>
      <w:r w:rsidRPr="00B14FA3">
        <w:rPr>
          <w:szCs w:val="21"/>
        </w:rPr>
        <w:t>48</w:t>
      </w:r>
      <w:r w:rsidRPr="00B14FA3">
        <w:rPr>
          <w:szCs w:val="21"/>
        </w:rPr>
        <w:t>和</w:t>
      </w:r>
      <w:r w:rsidRPr="00B14FA3">
        <w:rPr>
          <w:szCs w:val="21"/>
        </w:rPr>
        <w:t>24</w:t>
      </w:r>
      <w:r w:rsidRPr="00B14FA3">
        <w:rPr>
          <w:szCs w:val="21"/>
        </w:rPr>
        <w:t>。尺度</w:t>
      </w:r>
      <w:r w:rsidRPr="00B14FA3">
        <w:rPr>
          <w:szCs w:val="21"/>
        </w:rPr>
        <w:t>1</w:t>
      </w:r>
      <w:r w:rsidRPr="00B14FA3">
        <w:rPr>
          <w:szCs w:val="21"/>
        </w:rPr>
        <w:t>保留逐小时细节，尺度</w:t>
      </w:r>
      <w:r w:rsidRPr="00B14FA3">
        <w:rPr>
          <w:szCs w:val="21"/>
        </w:rPr>
        <w:t>2</w:t>
      </w:r>
      <w:r w:rsidRPr="00B14FA3">
        <w:rPr>
          <w:szCs w:val="21"/>
        </w:rPr>
        <w:t>和</w:t>
      </w:r>
      <w:r w:rsidRPr="00B14FA3">
        <w:rPr>
          <w:szCs w:val="21"/>
        </w:rPr>
        <w:t>4</w:t>
      </w:r>
      <w:r w:rsidRPr="00B14FA3">
        <w:rPr>
          <w:szCs w:val="21"/>
        </w:rPr>
        <w:t>逐步平滑局部扰动并扩大单个表示对应的时间范围。由于</w:t>
      </w:r>
      <w:r w:rsidRPr="00B14FA3">
        <w:rPr>
          <w:szCs w:val="21"/>
        </w:rPr>
        <w:t>L</w:t>
      </w:r>
      <w:r w:rsidRPr="00B14FA3">
        <w:rPr>
          <w:szCs w:val="21"/>
        </w:rPr>
        <w:t>能被各尺度整除，池化不需要补零或裁剪。平均池化本身不增加可训练参数，也使三条支路的含义明确。</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rsidRPr="00B14FA3">
        <w:rPr>
          <w:szCs w:val="21"/>
        </w:rPr>
        <w:t>每个尺度配置一个独立</w:t>
      </w:r>
      <w:r w:rsidRPr="00B14FA3">
        <w:rPr>
          <w:szCs w:val="21"/>
        </w:rPr>
        <w:t>DLinear</w:t>
      </w:r>
      <w:r w:rsidRPr="00B14FA3">
        <w:rPr>
          <w:szCs w:val="21"/>
        </w:rPr>
        <w:t>专家</w:t>
      </w:r>
      <w:r w:rsidRPr="00B14FA3">
        <w:rPr>
          <w:szCs w:val="21"/>
        </w:rPr>
        <w:t>[4]</w:t>
      </w:r>
      <w:r w:rsidRPr="00B14FA3">
        <w:rPr>
          <w:szCs w:val="21"/>
        </w:rPr>
        <w:t>。对尺度</w:t>
      </w:r>
      <w:r w:rsidRPr="00B14FA3">
        <w:rPr>
          <w:szCs w:val="21"/>
        </w:rPr>
        <w:t>s</w:t>
      </w:r>
      <w:r w:rsidRPr="00B14FA3">
        <w:rPr>
          <w:szCs w:val="21"/>
        </w:rPr>
        <w:t>的输入，以长度</w:t>
      </w:r>
      <w:r w:rsidRPr="00B14FA3">
        <w:rPr>
          <w:i/>
          <w:iCs/>
          <w:szCs w:val="21"/>
        </w:rPr>
        <w:t>q</w:t>
      </w:r>
      <w:r w:rsidRPr="00B14FA3">
        <w:rPr>
          <w:szCs w:val="21"/>
        </w:rPr>
        <w:t>=25</w:t>
      </w:r>
      <w:r w:rsidRPr="00B14FA3">
        <w:rPr>
          <w:szCs w:val="21"/>
        </w:rPr>
        <w:t>的中心移动平均提取趋势项，序列两端采用端点复制以保持长度：</w:t>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T</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q</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i=-m</m:t>
                </m:r>
              </m:e>
            </m:d>
          </m:sub>
          <m:sup>
            <m:d>
              <m:dPr>
                <m:begChr m:val="{"/>
                <m:endChr m:val="}"/>
                <m:ctrlPr>
                  <w:rPr>
                    <w:rFonts w:ascii="Cambria Math" w:eastAsia="Cambria Math" w:hAnsi="Cambria Math"/>
                    <w:i/>
                  </w:rPr>
                </m:ctrlPr>
              </m:dPr>
              <m:e>
                <m:r>
                  <w:rPr>
                    <w:rFonts w:ascii="Cambria Math" w:eastAsia="Cambria Math" w:hAnsi="Cambria Math"/>
                    <w:kern w:val="0"/>
                    <w:szCs w:val="20"/>
                  </w:rPr>
                  <m:t>m</m:t>
                </m:r>
              </m:e>
            </m:d>
            <m:sSubSup>
              <m:sSubSupPr>
                <m:ctrlPr>
                  <w:rPr>
                    <w:rFonts w:ascii="Cambria Math" w:eastAsia="Cambria Math" w:hAnsi="Cambria Math"/>
                    <w:i/>
                  </w:rPr>
                </m:ctrlPr>
              </m:sSubSupPr>
              <m:e>
                <m:acc>
                  <m:accPr>
                    <m:chr m:val="̄"/>
                    <m:ctrlPr>
                      <w:rPr>
                        <w:rFonts w:ascii="Cambria Math" w:eastAsia="Cambria Math" w:hAnsi="Cambria Math"/>
                        <w:i/>
                      </w:rPr>
                    </m:ctrlPr>
                  </m:accPr>
                  <m:e>
                    <m:r>
                      <m:rPr>
                        <m:sty m:val="bi"/>
                      </m:rPr>
                      <w:rPr>
                        <w:rFonts w:ascii="Cambria Math" w:eastAsia="Cambria Math" w:hAnsi="Cambria Math"/>
                        <w:kern w:val="0"/>
                        <w:szCs w:val="20"/>
                      </w:rPr>
                      <m:t>X</m:t>
                    </m:r>
                  </m:e>
                </m:acc>
              </m:e>
              <m:sub>
                <m:d>
                  <m:dPr>
                    <m:begChr m:val="{"/>
                    <m:endChr m:val="}"/>
                    <m:ctrlPr>
                      <w:rPr>
                        <w:rFonts w:ascii="Cambria Math" w:eastAsia="Cambria Math" w:hAnsi="Cambria Math"/>
                        <w:i/>
                      </w:rPr>
                    </m:ctrlPr>
                  </m:dPr>
                  <m:e>
                    <m:r>
                      <w:rPr>
                        <w:rFonts w:ascii="Cambria Math" w:eastAsia="Cambria Math" w:hAnsi="Cambria Math"/>
                        <w:kern w:val="0"/>
                        <w:szCs w:val="20"/>
                      </w:rPr>
                      <m:t>n,t+i</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     q=2m+1=25,</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rPr>
          <w:szCs w:val="21"/>
        </w:rPr>
        <w:t>趋势项</w:t>
      </w:r>
      <w:r>
        <w:rPr>
          <w:b/>
          <w:bCs/>
          <w:i/>
          <w:iCs/>
          <w:szCs w:val="21"/>
        </w:rPr>
        <w:t>T</w:t>
      </w:r>
      <w:r>
        <w:rPr>
          <w:szCs w:val="21"/>
          <w:vertAlign w:val="superscript"/>
        </w:rPr>
        <w:t>(</w:t>
      </w:r>
      <w:r>
        <w:rPr>
          <w:i/>
          <w:iCs/>
          <w:szCs w:val="21"/>
          <w:vertAlign w:val="superscript"/>
        </w:rPr>
        <w:t>s</w:t>
      </w:r>
      <w:r>
        <w:rPr>
          <w:szCs w:val="21"/>
          <w:vertAlign w:val="superscript"/>
        </w:rPr>
        <w:t>)</w:t>
      </w:r>
      <w:r>
        <w:rPr>
          <w:szCs w:val="21"/>
        </w:rPr>
        <w:t>和余项</w:t>
      </w:r>
      <w:r>
        <w:rPr>
          <w:b/>
          <w:bCs/>
          <w:i/>
          <w:iCs/>
          <w:szCs w:val="21"/>
        </w:rPr>
        <w:t>R</w:t>
      </w:r>
      <w:r>
        <w:rPr>
          <w:szCs w:val="21"/>
          <w:vertAlign w:val="superscript"/>
        </w:rPr>
        <w:t>(</w:t>
      </w:r>
      <w:r>
        <w:rPr>
          <w:i/>
          <w:iCs/>
          <w:szCs w:val="21"/>
          <w:vertAlign w:val="superscript"/>
        </w:rPr>
        <w:t>s</w:t>
      </w:r>
      <w:r>
        <w:rPr>
          <w:szCs w:val="21"/>
          <w:vertAlign w:val="superscript"/>
        </w:rPr>
        <w:t>)</w:t>
      </w:r>
      <w:r>
        <w:rPr>
          <w:szCs w:val="21"/>
        </w:rPr>
        <w:t>沿时间维分别通过线性层映射到预测长度</w:t>
      </w:r>
      <w:r>
        <w:rPr>
          <w:i/>
          <w:iCs/>
          <w:szCs w:val="21"/>
        </w:rPr>
        <w:t>H</w:t>
      </w:r>
      <w:r>
        <w:rPr>
          <w:szCs w:val="21"/>
        </w:rPr>
        <w:t>：</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rPr>
          <w:szCs w:val="21"/>
        </w:rPr>
        <w:t>式中，趋势项线性层和余项线性层分别具有独立的时间映射权重与偏置参数。</w:t>
      </w:r>
      <w:r w:rsidRPr="00B14FA3">
        <w:rPr>
          <w:szCs w:val="21"/>
        </w:rPr>
        <w:t>同一尺度内的</w:t>
      </w:r>
      <w:r w:rsidRPr="00B14FA3">
        <w:rPr>
          <w:szCs w:val="21"/>
        </w:rPr>
        <w:t>C</w:t>
      </w:r>
      <w:r w:rsidRPr="00B14FA3">
        <w:rPr>
          <w:szCs w:val="21"/>
        </w:rPr>
        <w:t>个变量共享时间映射权重，三个尺度使用不同参数。共享权重显著控制参数量，但不会显式学习</w:t>
      </w:r>
      <w:r w:rsidRPr="00B14FA3">
        <w:rPr>
          <w:szCs w:val="21"/>
        </w:rPr>
        <w:t>OD</w:t>
      </w:r>
      <w:r w:rsidRPr="00B14FA3">
        <w:rPr>
          <w:szCs w:val="21"/>
        </w:rPr>
        <w:t>变量间的拓扑关系。三个专家观察不同分辨率的输入，因此即使主干结构相同，也会形成互补预测。</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rPr>
          <w:szCs w:val="21"/>
        </w:rPr>
        <w:t>固定平均默认三个尺度对每个窗口同等重要，难以反映流量状态差异。本文从原始输入</w:t>
      </w:r>
      <w:r>
        <w:rPr>
          <w:b/>
          <w:bCs/>
          <w:i/>
          <w:iCs/>
          <w:szCs w:val="21"/>
        </w:rPr>
        <w:t>X</w:t>
      </w:r>
      <w:r>
        <w:rPr>
          <w:i/>
          <w:iCs/>
          <w:szCs w:val="21"/>
          <w:vertAlign w:val="subscript"/>
        </w:rPr>
        <w:t>n</w:t>
      </w:r>
      <w:r>
        <w:rPr>
          <w:szCs w:val="21"/>
        </w:rPr>
        <w:t>提取四维统</w:t>
      </w:r>
      <w:r>
        <w:rPr>
          <w:szCs w:val="21"/>
        </w:rPr>
        <w:lastRenderedPageBreak/>
        <w:t>计向量</w:t>
      </w:r>
      <w:r>
        <w:rPr>
          <w:b/>
          <w:bCs/>
          <w:i/>
          <w:iCs/>
          <w:szCs w:val="21"/>
        </w:rPr>
        <w:t>z</w:t>
      </w:r>
      <w:r>
        <w:rPr>
          <w:i/>
          <w:iCs/>
          <w:szCs w:val="21"/>
          <w:vertAlign w:val="subscript"/>
        </w:rPr>
        <w:t>n</w:t>
      </w:r>
      <w:r>
        <w:rPr>
          <w:szCs w:val="21"/>
        </w:rPr>
        <w:t>=[</w:t>
      </w:r>
      <w:r>
        <w:rPr>
          <w:i/>
          <w:iCs/>
          <w:szCs w:val="21"/>
        </w:rPr>
        <w:t>μ</w:t>
      </w:r>
      <w:r>
        <w:rPr>
          <w:i/>
          <w:iCs/>
          <w:szCs w:val="21"/>
          <w:vertAlign w:val="subscript"/>
        </w:rPr>
        <w:t>n</w:t>
      </w:r>
      <w:r>
        <w:rPr>
          <w:szCs w:val="21"/>
        </w:rPr>
        <w:t>,</w:t>
      </w:r>
      <w:r>
        <w:rPr>
          <w:i/>
          <w:iCs/>
          <w:szCs w:val="21"/>
        </w:rPr>
        <w:t>σ</w:t>
      </w:r>
      <w:r>
        <w:rPr>
          <w:i/>
          <w:iCs/>
          <w:szCs w:val="21"/>
          <w:vertAlign w:val="subscript"/>
        </w:rPr>
        <w:t>n</w:t>
      </w:r>
      <w:r>
        <w:rPr>
          <w:szCs w:val="21"/>
        </w:rPr>
        <w:t>,</w:t>
      </w:r>
      <w:r>
        <w:rPr>
          <w:i/>
          <w:iCs/>
          <w:szCs w:val="21"/>
        </w:rPr>
        <w:t>ℓ</w:t>
      </w:r>
      <w:r>
        <w:rPr>
          <w:i/>
          <w:iCs/>
          <w:szCs w:val="21"/>
          <w:vertAlign w:val="subscript"/>
        </w:rPr>
        <w:t>n</w:t>
      </w:r>
      <w:r>
        <w:rPr>
          <w:szCs w:val="21"/>
        </w:rPr>
        <w:t>,</w:t>
      </w:r>
      <w:r>
        <w:rPr>
          <w:i/>
          <w:iCs/>
          <w:szCs w:val="21"/>
        </w:rPr>
        <w:t>d</w:t>
      </w:r>
      <w:r>
        <w:rPr>
          <w:i/>
          <w:iCs/>
          <w:szCs w:val="21"/>
          <w:vertAlign w:val="subscript"/>
        </w:rPr>
        <w:t>n</w:t>
      </w:r>
      <w:r>
        <w:rPr>
          <w:szCs w:val="21"/>
        </w:rPr>
        <w:t>]</w:t>
      </w:r>
      <w:r>
        <w:rPr>
          <w:szCs w:val="21"/>
        </w:rPr>
        <w:t>，其中</w:t>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n</m:t>
            </m:r>
          </m:sub>
        </m:sSub>
        <m:r>
          <w:rPr>
            <w:rFonts w:ascii="Cambria Math" w:eastAsia="Cambria Math" w:hAnsi="Cambria Math"/>
            <w:kern w:val="0"/>
            <w:szCs w:val="20"/>
          </w:rPr>
          <m:t>=</m:t>
        </m:r>
        <m:rad>
          <m:radPr>
            <m:degHide m:val="1"/>
            <m:ctrlPr>
              <w:rPr>
                <w:rFonts w:ascii="Cambria Math" w:eastAsia="Cambria Math" w:hAnsi="Cambria Math"/>
                <w:i/>
              </w:rPr>
            </m:ctrlPr>
          </m:radPr>
          <m:deg/>
          <m:e>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e>
                </m:d>
              </m:sub>
              <m:sup>
                <m:r>
                  <w:rPr>
                    <w:rFonts w:ascii="Cambria Math" w:eastAsia="Cambria Math" w:hAnsi="Cambria Math"/>
                    <w:kern w:val="0"/>
                    <w:szCs w:val="20"/>
                  </w:rPr>
                  <m:t>2</m:t>
                </m:r>
              </m:sup>
            </m:sSubSup>
          </m:e>
        </m:rad>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cr m:val="script"/>
              </m:rPr>
              <w:rPr>
                <w:rFonts w:ascii="Cambria Math" w:eastAsia="Cambria Math" w:hAnsi="Cambria Math"/>
                <w:kern w:val="0"/>
                <w:szCs w:val="20"/>
              </w:rPr>
              <m:t>l</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c</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d</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d>
                  <m:dPr>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t=1</m:t>
                    </m:r>
                  </m:e>
                </m:d>
              </m:e>
              <m:sub>
                <m:r>
                  <w:rPr>
                    <w:rFonts w:ascii="Cambria Math" w:eastAsia="Cambria Math" w:hAnsi="Cambria Math"/>
                    <w:kern w:val="0"/>
                    <w:szCs w:val="20"/>
                  </w:rPr>
                  <m:t>c</m:t>
                </m:r>
                <m:d>
                  <m:dPr>
                    <m:begChr m:val="|"/>
                    <m:endChr m:val="|"/>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n,t-1,c</m:t>
                            </m:r>
                          </m:e>
                        </m:d>
                      </m:sub>
                    </m:sSub>
                  </m:e>
                </m:d>
              </m:sub>
              <m:sup>
                <m:d>
                  <m:dPr>
                    <m:begChr m:val="{"/>
                    <m:endChr m:val="}"/>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Σ</m:t>
                </m:r>
              </m:sup>
            </m:sSubSup>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w:r>
        <w:rPr>
          <w:i/>
          <w:iCs/>
          <w:szCs w:val="21"/>
        </w:rPr>
        <w:t>μ</w:t>
      </w:r>
      <w:r>
        <w:rPr>
          <w:i/>
          <w:iCs/>
          <w:szCs w:val="21"/>
          <w:vertAlign w:val="subscript"/>
        </w:rPr>
        <w:t>n</w:t>
      </w:r>
      <w:r>
        <w:rPr>
          <w:szCs w:val="21"/>
        </w:rPr>
        <w:t>描述窗口总体水平，</w:t>
      </w:r>
      <w:r>
        <w:rPr>
          <w:i/>
          <w:iCs/>
          <w:szCs w:val="21"/>
        </w:rPr>
        <w:t>σ</w:t>
      </w:r>
      <w:r>
        <w:rPr>
          <w:i/>
          <w:iCs/>
          <w:szCs w:val="21"/>
          <w:vertAlign w:val="subscript"/>
        </w:rPr>
        <w:t>n</w:t>
      </w:r>
      <w:r>
        <w:rPr>
          <w:szCs w:val="21"/>
        </w:rPr>
        <w:t>描述离散程度，</w:t>
      </w:r>
      <w:r>
        <w:rPr>
          <w:i/>
          <w:iCs/>
          <w:szCs w:val="21"/>
        </w:rPr>
        <w:t>ℓ</w:t>
      </w:r>
      <w:r>
        <w:rPr>
          <w:i/>
          <w:iCs/>
          <w:szCs w:val="21"/>
          <w:vertAlign w:val="subscript"/>
        </w:rPr>
        <w:t>n</w:t>
      </w:r>
      <w:r>
        <w:rPr>
          <w:szCs w:val="21"/>
        </w:rPr>
        <w:t>描述最近时刻状态，</w:t>
      </w:r>
      <w:r>
        <w:rPr>
          <w:i/>
          <w:iCs/>
          <w:szCs w:val="21"/>
        </w:rPr>
        <w:t>d</w:t>
      </w:r>
      <w:r>
        <w:rPr>
          <w:i/>
          <w:iCs/>
          <w:szCs w:val="21"/>
          <w:vertAlign w:val="subscript"/>
        </w:rPr>
        <w:t>n</w:t>
      </w:r>
      <w:r>
        <w:rPr>
          <w:szCs w:val="21"/>
        </w:rPr>
        <w:t>描述平均变化强度。四维向量经隐藏维数为</w:t>
      </w:r>
      <w:r>
        <w:rPr>
          <w:szCs w:val="21"/>
        </w:rPr>
        <w:t>16</w:t>
      </w:r>
      <w:r>
        <w:rPr>
          <w:szCs w:val="21"/>
        </w:rPr>
        <w:t>的两层感知器得到三个尺度分数：</w:t>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a</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2ReLU</m:t>
            </m:r>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W</m:t>
                    </m:r>
                  </m:e>
                  <m:sub>
                    <m:r>
                      <w:rPr>
                        <w:rFonts w:ascii="Cambria Math" w:eastAsia="Cambria Math" w:hAnsi="Cambria Math"/>
                        <w:kern w:val="0"/>
                        <w:szCs w:val="20"/>
                      </w:rPr>
                      <m:t>1</m:t>
                    </m:r>
                    <m:sSub>
                      <m:sSubPr>
                        <m:ctrlPr>
                          <w:rPr>
                            <w:rFonts w:ascii="Cambria Math" w:eastAsia="Cambria Math" w:hAnsi="Cambria Math"/>
                            <w:i/>
                          </w:rPr>
                        </m:ctrlPr>
                      </m:sSubPr>
                      <m:e>
                        <m:r>
                          <m:rPr>
                            <m:sty m:val="bi"/>
                          </m:rPr>
                          <w:rPr>
                            <w:rFonts w:ascii="Cambria Math" w:eastAsia="Cambria Math" w:hAnsi="Cambria Math"/>
                            <w:kern w:val="0"/>
                            <w:szCs w:val="20"/>
                          </w:rPr>
                          <m:t>z</m:t>
                        </m:r>
                      </m:e>
                      <m:sub>
                        <m:r>
                          <w:rPr>
                            <w:rFonts w:ascii="Cambria Math" w:eastAsia="Cambria Math" w:hAnsi="Cambria Math"/>
                            <w:kern w:val="0"/>
                            <w:szCs w:val="20"/>
                          </w:rPr>
                          <m:t>n</m:t>
                        </m:r>
                      </m:sub>
                    </m:sSub>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1</m:t>
                    </m:r>
                  </m:sub>
                </m:sSub>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2</m:t>
            </m:r>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(11)</w:t>
      </w:r>
    </w:p>
    <w:p w14:paraId="2935E851" w14:textId="77777777" w:rsidR="00B14FA3" w:rsidRPr="00B14FA3" w:rsidRDefault="00B14FA3" w:rsidP="00B14FA3">
      <w:pPr>
        <w:spacing w:line="360" w:lineRule="auto"/>
      </w:pPr>
      <w:r>
        <w:rPr>
          <w:szCs w:val="21"/>
        </w:rPr>
        <w:t>式中，两层感知器各自包含权重矩阵和偏置，输出为三个尺度的得分向量。</w:t>
      </w:r>
      <w:r w:rsidRPr="00B14FA3">
        <w:rPr>
          <w:szCs w:val="21"/>
        </w:rPr>
        <w:t>Softmax</w:t>
      </w:r>
      <w:r w:rsidRPr="00B14FA3">
        <w:rPr>
          <w:szCs w:val="21"/>
        </w:rPr>
        <w:t>将分数转换为非负、和为</w:t>
      </w:r>
      <w:r w:rsidRPr="00B14FA3">
        <w:rPr>
          <w:szCs w:val="21"/>
        </w:rPr>
        <w:t>1</w:t>
      </w:r>
      <w:r w:rsidRPr="00B14FA3">
        <w:rPr>
          <w:szCs w:val="21"/>
        </w:rPr>
        <w:t>的权重：</w:t>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m:t>
        </m:r>
        <m:f>
          <m:fPr>
            <m:ctrlPr>
              <w:rPr>
                <w:rFonts w:ascii="Cambria Math" w:eastAsia="Cambria Math" w:hAnsi="Cambria Math"/>
                <w:i/>
              </w:rPr>
            </m:ctrlPr>
          </m:fPr>
          <m:num>
            <m:func>
              <m:funcPr>
                <m:ctrlPr>
                  <w:rPr>
                    <w:rFonts w:ascii="Cambria Math" w:eastAsia="Cambria Math" w:hAnsi="Cambria Math"/>
                  </w:rPr>
                </m:ctrlPr>
              </m:funcPr>
              <m:fName>
                <m:r>
                  <m:rPr>
                    <m:sty m:val="p"/>
                  </m:rPr>
                  <w:rPr>
                    <w:rFonts w:ascii="Cambria Math" w:eastAsia="Cambria Math" w:hAnsi="Cambria Math"/>
                    <w:kern w:val="0"/>
                    <w:szCs w:val="20"/>
                  </w:rPr>
                  <m:t>exp</m:t>
                </m:r>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e>
                </m:d>
              </m:e>
            </m:func>
          </m:num>
          <m:den>
            <m:func>
              <m:funcPr>
                <m:ctrlPr>
                  <w:rPr>
                    <w:rFonts w:ascii="Cambria Math" w:eastAsia="Cambria Math" w:hAnsi="Cambria Math"/>
                  </w:rPr>
                </m:ctrlPr>
              </m:funcPr>
              <m:fName>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j∈S</m:t>
                        </m:r>
                      </m:e>
                    </m:d>
                    <m:r>
                      <m:rPr>
                        <m:sty m:val="p"/>
                      </m:rPr>
                      <w:rPr>
                        <w:rFonts w:ascii="Cambria Math" w:eastAsia="Cambria Math" w:hAnsi="Cambria Math"/>
                        <w:kern w:val="0"/>
                        <w:szCs w:val="20"/>
                      </w:rPr>
                      <m:t>exp</m:t>
                    </m:r>
                  </m:sub>
                </m:sSub>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n,j</m:t>
                            </m:r>
                          </m:e>
                        </m:d>
                      </m:sub>
                    </m:sSub>
                  </m:e>
                </m:d>
              </m:e>
            </m:func>
          </m:den>
        </m:f>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 xml:space="preserve">≥0,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s</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sub>
        </m:sSub>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Ŷ</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s∈S</m:t>
                </m:r>
              </m:e>
            </m:d>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b>
            </m:sSub>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rPr>
          <w:szCs w:val="21"/>
        </w:rPr>
        <w:t>每个样本单独生成一组权重，同一样本的全部</w:t>
      </w:r>
      <w:r>
        <w:rPr>
          <w:szCs w:val="21"/>
        </w:rPr>
        <w:t>OD</w:t>
      </w:r>
      <w:r>
        <w:rPr>
          <w:szCs w:val="21"/>
        </w:rPr>
        <w:t>变量共享该组权重。这是一种样本级而不是变量级路由，可控制复杂度并便于解释。固定等权消融令</w:t>
      </w:r>
      <w:r>
        <w:rPr>
          <w:i/>
          <w:iCs/>
          <w:szCs w:val="21"/>
        </w:rPr>
        <w:t>α</w:t>
      </w:r>
      <w:r>
        <w:rPr>
          <w:i/>
          <w:iCs/>
          <w:szCs w:val="21"/>
          <w:vertAlign w:val="subscript"/>
        </w:rPr>
        <w:t>n,s</w:t>
      </w:r>
      <w:r>
        <w:rPr>
          <w:szCs w:val="21"/>
        </w:rPr>
        <w:t>=1/3</w:t>
      </w:r>
      <w:r>
        <w:rPr>
          <w:szCs w:val="21"/>
        </w:rPr>
        <w:t>，其他结构和训练过程完全不变，因此固定组与自适应组的误差差异主要反映权重生成方式。</w:t>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模型以所有样本、预测时刻和</w:t>
      </w:r>
      <w:r w:rsidRPr="00B14FA3">
        <w:rPr>
          <w:szCs w:val="21"/>
        </w:rPr>
        <w:t>OD</w:t>
      </w:r>
      <w:r w:rsidRPr="00B14FA3">
        <w:rPr>
          <w:szCs w:val="21"/>
        </w:rPr>
        <w:t>变量上的均方误差为目标：</w:t>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L</m:t>
            </m:r>
          </m:e>
          <m:sub>
            <m:d>
              <m:dPr>
                <m:begChr m:val="{"/>
                <m:endChr m:val="}"/>
                <m:ctrlPr>
                  <w:rPr>
                    <w:rFonts w:ascii="Cambria Math" w:eastAsia="Cambria Math" w:hAnsi="Cambria Math"/>
                    <w:i/>
                  </w:rPr>
                </m:ctrlPr>
              </m:dPr>
              <m:e>
                <m:r>
                  <m:rPr>
                    <m:sty m:val="p"/>
                  </m:rPr>
                  <w:rPr>
                    <w:rFonts w:ascii="Cambria Math" w:eastAsia="Cambria Math" w:hAnsi="Cambria Math"/>
                    <w:kern w:val="0"/>
                    <w:szCs w:val="20"/>
                  </w:rPr>
                  <m:t>MSE</m:t>
                </m:r>
              </m:e>
            </m:d>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NHC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n=1</m:t>
                </m:r>
              </m:e>
            </m:d>
          </m:sub>
          <m:sup>
            <m:d>
              <m:dPr>
                <m:begChr m:val="{"/>
                <m:endChr m:val="}"/>
                <m:ctrlPr>
                  <w:rPr>
                    <w:rFonts w:ascii="Cambria Math" w:eastAsia="Cambria Math" w:hAnsi="Cambria Math"/>
                    <w:i/>
                  </w:rPr>
                </m:ctrlPr>
              </m:dPr>
              <m:e>
                <m:r>
                  <w:rPr>
                    <w:rFonts w:ascii="Cambria Math" w:eastAsia="Cambria Math" w:hAnsi="Cambria Math"/>
                    <w:kern w:val="0"/>
                    <w:szCs w:val="20"/>
                  </w:rPr>
                  <m:t>N</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h=1</m:t>
                    </m:r>
                  </m:e>
                </m:d>
              </m:sub>
              <m:sup>
                <m:d>
                  <m:dPr>
                    <m:begChr m:val="{"/>
                    <m:endChr m:val="}"/>
                    <m:ctrlPr>
                      <w:rPr>
                        <w:rFonts w:ascii="Cambria Math" w:eastAsia="Cambria Math" w:hAnsi="Cambria Math"/>
                        <w:i/>
                      </w:rPr>
                    </m:ctrlPr>
                  </m:dPr>
                  <m:e>
                    <m:r>
                      <w:rPr>
                        <w:rFonts w:ascii="Cambria Math" w:eastAsia="Cambria Math" w:hAnsi="Cambria Math"/>
                        <w:kern w:val="0"/>
                        <w:szCs w:val="20"/>
                      </w:rPr>
                      <m:t>H</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c=1</m:t>
                        </m:r>
                      </m:e>
                    </m:d>
                  </m:sub>
                  <m:sup>
                    <m:d>
                      <m:dPr>
                        <m:begChr m:val="{"/>
                        <m:endChr m:val="}"/>
                        <m:ctrlPr>
                          <w:rPr>
                            <w:rFonts w:ascii="Cambria Math" w:eastAsia="Cambria Math" w:hAnsi="Cambria Math"/>
                            <w:i/>
                          </w:rPr>
                        </m:ctrlPr>
                      </m:dPr>
                      <m:e>
                        <m:r>
                          <w:rPr>
                            <w:rFonts w:ascii="Cambria Math" w:eastAsia="Cambria Math" w:hAnsi="Cambria Math"/>
                            <w:kern w:val="0"/>
                            <w:szCs w:val="20"/>
                          </w:rPr>
                          <m:t>C</m:t>
                        </m:r>
                      </m:e>
                    </m:d>
                    <m:sSup>
                      <m:sSupPr>
                        <m:ctrlPr>
                          <w:rPr>
                            <w:rFonts w:ascii="Cambria Math" w:eastAsia="Cambria Math" w:hAnsi="Cambria Math"/>
                            <w:i/>
                          </w:rPr>
                        </m:ctrlPr>
                      </m:sSupPr>
                      <m:e>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e>
                        </m:d>
                      </m:e>
                      <m:sup>
                        <m:r>
                          <w:rPr>
                            <w:rFonts w:ascii="Cambria Math" w:eastAsia="Cambria Math" w:hAnsi="Cambria Math"/>
                            <w:kern w:val="0"/>
                            <w:szCs w:val="20"/>
                          </w:rPr>
                          <m:t>2</m:t>
                        </m:r>
                      </m:sup>
                    </m:sSup>
                  </m:sup>
                </m:sSubSup>
              </m:sup>
            </m:sSubSup>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式中，</w:t>
      </w:r>
      <w:r>
        <w:rPr>
          <w:szCs w:val="21"/>
        </w:rPr>
        <w:t>N</w:t>
      </w:r>
      <w:r>
        <w:rPr>
          <w:szCs w:val="21"/>
        </w:rPr>
        <w:t>为训练样本数，损失函数表示训练样本、预测时刻和</w:t>
      </w:r>
      <w:r>
        <w:rPr>
          <w:szCs w:val="21"/>
        </w:rPr>
        <w:t>OD</w:t>
      </w:r>
      <w:r>
        <w:rPr>
          <w:szCs w:val="21"/>
        </w:rPr>
        <w:t>变量上的平均平方误差。</w:t>
      </w:r>
      <w:r w:rsidRPr="00B14FA3">
        <w:rPr>
          <w:szCs w:val="21"/>
        </w:rPr>
        <w:t>使用</w:t>
      </w:r>
      <w:r w:rsidRPr="00B14FA3">
        <w:rPr>
          <w:szCs w:val="21"/>
        </w:rPr>
        <w:t>Adam</w:t>
      </w:r>
      <w:r w:rsidRPr="00B14FA3">
        <w:rPr>
          <w:szCs w:val="21"/>
        </w:rPr>
        <w:t>优化器更新参数，模型选择只依据验证集均方误差。单尺度</w:t>
      </w:r>
      <w:r w:rsidRPr="00B14FA3">
        <w:rPr>
          <w:szCs w:val="21"/>
        </w:rPr>
        <w:t>DLinear</w:t>
      </w:r>
      <w:r w:rsidRPr="00B14FA3">
        <w:rPr>
          <w:szCs w:val="21"/>
        </w:rPr>
        <w:t>、固定等权多尺度和自适应多尺度模型分别含</w:t>
      </w:r>
      <w:r w:rsidRPr="00B14FA3">
        <w:rPr>
          <w:szCs w:val="21"/>
        </w:rPr>
        <w:t>4656</w:t>
      </w:r>
      <w:r w:rsidRPr="00B14FA3">
        <w:rPr>
          <w:szCs w:val="21"/>
        </w:rPr>
        <w:t>、</w:t>
      </w:r>
      <w:r w:rsidRPr="00B14FA3">
        <w:rPr>
          <w:szCs w:val="21"/>
        </w:rPr>
        <w:t>8208</w:t>
      </w:r>
      <w:r w:rsidRPr="00B14FA3">
        <w:rPr>
          <w:szCs w:val="21"/>
        </w:rPr>
        <w:t>和</w:t>
      </w:r>
      <w:r w:rsidRPr="00B14FA3">
        <w:rPr>
          <w:szCs w:val="21"/>
        </w:rPr>
        <w:t>8339</w:t>
      </w:r>
      <w:r w:rsidRPr="00B14FA3">
        <w:rPr>
          <w:szCs w:val="21"/>
        </w:rPr>
        <w:t>个可训练参数，其中样本级路由器相对固定等权版本仅增加</w:t>
      </w:r>
      <w:r w:rsidRPr="00B14FA3">
        <w:rPr>
          <w:szCs w:val="21"/>
        </w:rPr>
        <w:t>131</w:t>
      </w:r>
      <w:r w:rsidRPr="00B14FA3">
        <w:rPr>
          <w:szCs w:val="21"/>
        </w:rPr>
        <w:t>个参数。模型不包含大型注意力矩阵或显式拓扑模块，结构复杂度主要来自三个尺度专家。</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实验选用</w:t>
      </w:r>
      <w:r>
        <w:rPr>
          <w:color w:val="000000"/>
          <w:szCs w:val="21"/>
        </w:rPr>
        <w:t>CESNET TS-Zoo[7]</w:t>
      </w:r>
      <w:r>
        <w:rPr>
          <w:color w:val="000000"/>
          <w:szCs w:val="21"/>
        </w:rPr>
        <w:t>中的</w:t>
      </w:r>
      <w:r>
        <w:rPr>
          <w:color w:val="000000"/>
          <w:szCs w:val="21"/>
        </w:rPr>
        <w:t>Abilene[8]</w:t>
      </w:r>
      <w:r>
        <w:rPr>
          <w:color w:val="000000"/>
          <w:szCs w:val="21"/>
        </w:rPr>
        <w:t>和</w:t>
      </w:r>
      <w:r>
        <w:rPr>
          <w:color w:val="000000"/>
          <w:szCs w:val="21"/>
        </w:rPr>
        <w:t>GÉANT[9]</w:t>
      </w:r>
      <w:r>
        <w:rPr>
          <w:color w:val="000000"/>
          <w:szCs w:val="21"/>
        </w:rPr>
        <w:t>骨干网</w:t>
      </w:r>
      <w:r>
        <w:rPr>
          <w:color w:val="000000"/>
          <w:szCs w:val="21"/>
        </w:rPr>
        <w:t>1 h</w:t>
      </w:r>
      <w:r>
        <w:rPr>
          <w:color w:val="000000"/>
          <w:szCs w:val="21"/>
        </w:rPr>
        <w:t>聚合流量矩阵。</w:t>
      </w:r>
      <w:r>
        <w:rPr>
          <w:color w:val="000000"/>
          <w:szCs w:val="21"/>
        </w:rPr>
        <w:t>Abilene</w:t>
      </w:r>
      <w:r>
        <w:rPr>
          <w:color w:val="000000"/>
          <w:szCs w:val="21"/>
        </w:rPr>
        <w:t>从</w:t>
      </w:r>
      <w:r>
        <w:rPr>
          <w:color w:val="000000"/>
          <w:szCs w:val="21"/>
        </w:rPr>
        <w:t>matrix_avg_realOD</w:t>
      </w:r>
      <w:r>
        <w:rPr>
          <w:color w:val="000000"/>
          <w:szCs w:val="21"/>
        </w:rPr>
        <w:t>提取</w:t>
      </w:r>
      <w:r>
        <w:rPr>
          <w:color w:val="000000"/>
          <w:szCs w:val="21"/>
        </w:rPr>
        <w:t>144</w:t>
      </w:r>
      <w:r>
        <w:rPr>
          <w:color w:val="000000"/>
          <w:szCs w:val="21"/>
        </w:rPr>
        <w:t>维有效</w:t>
      </w:r>
      <w:r>
        <w:rPr>
          <w:color w:val="000000"/>
          <w:szCs w:val="21"/>
        </w:rPr>
        <w:t>OD</w:t>
      </w:r>
      <w:r>
        <w:rPr>
          <w:color w:val="000000"/>
          <w:szCs w:val="21"/>
        </w:rPr>
        <w:t>流量，共</w:t>
      </w:r>
      <w:r>
        <w:rPr>
          <w:color w:val="000000"/>
          <w:szCs w:val="21"/>
        </w:rPr>
        <w:t>4656</w:t>
      </w:r>
      <w:r>
        <w:rPr>
          <w:color w:val="000000"/>
          <w:szCs w:val="21"/>
        </w:rPr>
        <w:t>个时间点；</w:t>
      </w:r>
      <w:r>
        <w:rPr>
          <w:color w:val="000000"/>
          <w:szCs w:val="21"/>
        </w:rPr>
        <w:t>GÉANT</w:t>
      </w:r>
      <w:r>
        <w:rPr>
          <w:color w:val="000000"/>
          <w:szCs w:val="21"/>
        </w:rPr>
        <w:t>从</w:t>
      </w:r>
      <w:r>
        <w:rPr>
          <w:color w:val="000000"/>
          <w:szCs w:val="21"/>
        </w:rPr>
        <w:t>matrix_avg_bandwidth_kbps</w:t>
      </w:r>
      <w:r>
        <w:rPr>
          <w:color w:val="000000"/>
          <w:szCs w:val="21"/>
        </w:rPr>
        <w:t>读取</w:t>
      </w:r>
      <w:r>
        <w:rPr>
          <w:color w:val="000000"/>
          <w:szCs w:val="21"/>
        </w:rPr>
        <w:t>529</w:t>
      </w:r>
      <w:r>
        <w:rPr>
          <w:color w:val="000000"/>
          <w:szCs w:val="21"/>
        </w:rPr>
        <w:t>维矩阵，去除</w:t>
      </w:r>
      <w:r>
        <w:rPr>
          <w:color w:val="000000"/>
          <w:szCs w:val="21"/>
        </w:rPr>
        <w:t>5</w:t>
      </w:r>
      <w:r>
        <w:rPr>
          <w:color w:val="000000"/>
          <w:szCs w:val="21"/>
        </w:rPr>
        <w:t>个恒定通道后保留</w:t>
      </w:r>
      <w:r>
        <w:rPr>
          <w:color w:val="000000"/>
          <w:szCs w:val="21"/>
        </w:rPr>
        <w:t>524</w:t>
      </w:r>
      <w:r>
        <w:rPr>
          <w:color w:val="000000"/>
          <w:szCs w:val="21"/>
        </w:rPr>
        <w:t>维有效变量，共</w:t>
      </w:r>
      <w:r>
        <w:rPr>
          <w:color w:val="000000"/>
          <w:szCs w:val="21"/>
        </w:rPr>
        <w:t>2849</w:t>
      </w:r>
      <w:r>
        <w:rPr>
          <w:color w:val="000000"/>
          <w:szCs w:val="21"/>
        </w:rPr>
        <w:t>个时间点。两数据集均按时间顺序以</w:t>
      </w:r>
      <w:r>
        <w:rPr>
          <w:color w:val="000000"/>
          <w:szCs w:val="21"/>
        </w:rPr>
        <w:t>6∶2∶2</w:t>
      </w:r>
      <w:r>
        <w:rPr>
          <w:color w:val="000000"/>
          <w:szCs w:val="21"/>
        </w:rPr>
        <w:t>划分训练集、验证集和测试集，并分别在各集合内部构造滑动窗口，避免跨集合泄漏。输入长度</w:t>
      </w:r>
      <w:r>
        <w:rPr>
          <w:color w:val="000000"/>
          <w:szCs w:val="21"/>
        </w:rPr>
        <w:t>L=96</w:t>
      </w:r>
      <w:r>
        <w:rPr>
          <w:color w:val="000000"/>
          <w:szCs w:val="21"/>
        </w:rPr>
        <w:t>，预测长度</w:t>
      </w:r>
      <w:r>
        <w:rPr>
          <w:color w:val="000000"/>
          <w:szCs w:val="21"/>
        </w:rPr>
        <w:t>H=24</w:t>
      </w:r>
      <w:r>
        <w:rPr>
          <w:color w:val="000000"/>
          <w:szCs w:val="21"/>
        </w:rPr>
        <w:t>；预处理与第</w:t>
      </w:r>
      <w:r>
        <w:rPr>
          <w:color w:val="000000"/>
          <w:szCs w:val="21"/>
        </w:rPr>
        <w:t>1.1</w:t>
      </w:r>
      <w:r>
        <w:rPr>
          <w:color w:val="000000"/>
          <w:szCs w:val="21"/>
        </w:rPr>
        <w:t>节一致，先进行</w:t>
      </w:r>
      <w:r>
        <w:rPr>
          <w:color w:val="000000"/>
          <w:szCs w:val="21"/>
        </w:rPr>
        <w:t>log(1+x)</w:t>
      </w:r>
      <w:r>
        <w:rPr>
          <w:color w:val="000000"/>
          <w:szCs w:val="21"/>
        </w:rPr>
        <w:t>变换，再仅使用训练集统计量逐变量标准化。数据规模见表</w:t>
      </w:r>
      <w:r>
        <w:rPr>
          <w:color w:val="000000"/>
          <w:szCs w:val="21"/>
        </w:rPr>
        <w:t>1</w:t>
      </w:r>
      <w:r>
        <w:rPr>
          <w:color w:val="000000"/>
          <w:szCs w:val="21"/>
        </w:rPr>
        <w:t>。</w:t>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所有模型均通过统一训练接口完成，并采用</w:t>
      </w:r>
      <w:r>
        <w:rPr>
          <w:color w:val="000000"/>
          <w:szCs w:val="21"/>
        </w:rPr>
        <w:t>Adam</w:t>
      </w:r>
      <w:r>
        <w:rPr>
          <w:color w:val="000000"/>
          <w:szCs w:val="21"/>
        </w:rPr>
        <w:t>优化器和批量大小</w:t>
      </w:r>
      <w:r>
        <w:rPr>
          <w:color w:val="000000"/>
          <w:szCs w:val="21"/>
        </w:rPr>
        <w:t>16</w:t>
      </w:r>
      <w:r>
        <w:rPr>
          <w:color w:val="000000"/>
          <w:szCs w:val="21"/>
        </w:rPr>
        <w:t>。</w:t>
      </w:r>
      <w:r>
        <w:rPr>
          <w:color w:val="000000"/>
          <w:szCs w:val="21"/>
        </w:rPr>
        <w:t>DLinear</w:t>
      </w:r>
      <w:r>
        <w:rPr>
          <w:color w:val="000000"/>
          <w:szCs w:val="21"/>
        </w:rPr>
        <w:t>、固定等权多尺度和自适应多尺度模型的学习率为</w:t>
      </w:r>
      <w:r>
        <w:rPr>
          <w:color w:val="000000"/>
          <w:szCs w:val="21"/>
        </w:rPr>
        <w:t>0.001</w:t>
      </w:r>
      <w:r>
        <w:rPr>
          <w:color w:val="000000"/>
          <w:szCs w:val="21"/>
        </w:rPr>
        <w:t>，最多训练</w:t>
      </w:r>
      <w:r>
        <w:rPr>
          <w:color w:val="000000"/>
          <w:szCs w:val="21"/>
        </w:rPr>
        <w:t>30</w:t>
      </w:r>
      <w:r>
        <w:rPr>
          <w:color w:val="000000"/>
          <w:szCs w:val="21"/>
        </w:rPr>
        <w:t>轮，验证集</w:t>
      </w:r>
      <w:r>
        <w:rPr>
          <w:color w:val="000000"/>
          <w:szCs w:val="21"/>
        </w:rPr>
        <w:t>MSE</w:t>
      </w:r>
      <w:r>
        <w:rPr>
          <w:color w:val="000000"/>
          <w:szCs w:val="21"/>
        </w:rPr>
        <w:t>连续</w:t>
      </w:r>
      <w:r>
        <w:rPr>
          <w:color w:val="000000"/>
          <w:szCs w:val="21"/>
        </w:rPr>
        <w:t>6</w:t>
      </w:r>
      <w:r>
        <w:rPr>
          <w:color w:val="000000"/>
          <w:szCs w:val="21"/>
        </w:rPr>
        <w:t>轮未改善时提前停止；</w:t>
      </w:r>
      <w:r>
        <w:rPr>
          <w:color w:val="000000"/>
          <w:szCs w:val="21"/>
        </w:rPr>
        <w:t>LightTS</w:t>
      </w:r>
      <w:r>
        <w:rPr>
          <w:color w:val="000000"/>
          <w:szCs w:val="21"/>
        </w:rPr>
        <w:t>采用固定外部基线设置，学习率为</w:t>
      </w:r>
      <w:r>
        <w:rPr>
          <w:color w:val="000000"/>
          <w:szCs w:val="21"/>
        </w:rPr>
        <w:t>0.0001</w:t>
      </w:r>
      <w:r>
        <w:rPr>
          <w:color w:val="000000"/>
          <w:szCs w:val="21"/>
        </w:rPr>
        <w:t>，最多训练</w:t>
      </w:r>
      <w:r>
        <w:rPr>
          <w:color w:val="000000"/>
          <w:szCs w:val="21"/>
        </w:rPr>
        <w:t>50</w:t>
      </w:r>
      <w:r>
        <w:rPr>
          <w:color w:val="000000"/>
          <w:szCs w:val="21"/>
        </w:rPr>
        <w:t>轮，早停耐心为</w:t>
      </w:r>
      <w:r>
        <w:rPr>
          <w:color w:val="000000"/>
          <w:szCs w:val="21"/>
        </w:rPr>
        <w:t>10</w:t>
      </w:r>
      <w:r>
        <w:rPr>
          <w:color w:val="000000"/>
          <w:szCs w:val="21"/>
        </w:rPr>
        <w:t>。所有模型均以验证集</w:t>
      </w:r>
      <w:r>
        <w:rPr>
          <w:color w:val="000000"/>
          <w:szCs w:val="21"/>
        </w:rPr>
        <w:t>MSE</w:t>
      </w:r>
      <w:r>
        <w:rPr>
          <w:color w:val="000000"/>
          <w:szCs w:val="21"/>
        </w:rPr>
        <w:t>最低的参数进行测试。为避免不同重复次数造成统计口径混用，外部基线比较统一采用各模型共同完成的随机种子</w:t>
      </w:r>
      <w:r>
        <w:rPr>
          <w:color w:val="000000"/>
          <w:szCs w:val="21"/>
        </w:rPr>
        <w:t>42—44</w:t>
      </w:r>
      <w:r>
        <w:rPr>
          <w:color w:val="000000"/>
          <w:szCs w:val="21"/>
        </w:rPr>
        <w:t>；三个核心模型进一步采用</w:t>
      </w:r>
      <w:r>
        <w:rPr>
          <w:color w:val="000000"/>
          <w:szCs w:val="21"/>
        </w:rPr>
        <w:t>42—49</w:t>
      </w:r>
      <w:r>
        <w:rPr>
          <w:color w:val="000000"/>
          <w:szCs w:val="21"/>
        </w:rPr>
        <w:t>共</w:t>
      </w:r>
      <w:r>
        <w:rPr>
          <w:color w:val="000000"/>
          <w:szCs w:val="21"/>
        </w:rPr>
        <w:t>8</w:t>
      </w:r>
      <w:r>
        <w:rPr>
          <w:color w:val="000000"/>
          <w:szCs w:val="21"/>
        </w:rPr>
        <w:t>个随机种子进行机制稳定性分析。</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对比模型包括单尺度</w:t>
      </w:r>
      <w:r>
        <w:rPr>
          <w:color w:val="000000"/>
          <w:szCs w:val="21"/>
        </w:rPr>
        <w:t>DLinear</w:t>
      </w:r>
      <w:r>
        <w:rPr>
          <w:color w:val="000000"/>
          <w:szCs w:val="21"/>
        </w:rPr>
        <w:t>、外部轻量基线</w:t>
      </w:r>
      <w:r>
        <w:rPr>
          <w:color w:val="000000"/>
          <w:szCs w:val="21"/>
        </w:rPr>
        <w:t>LightTS</w:t>
      </w:r>
      <w:r>
        <w:rPr>
          <w:color w:val="000000"/>
          <w:szCs w:val="21"/>
        </w:rPr>
        <w:t>、固定等权多尺度模型和本文自适应多尺度模型。其中，</w:t>
      </w:r>
      <w:r>
        <w:rPr>
          <w:color w:val="000000"/>
          <w:szCs w:val="21"/>
        </w:rPr>
        <w:t>LightTS</w:t>
      </w:r>
      <w:r>
        <w:rPr>
          <w:color w:val="000000"/>
          <w:szCs w:val="21"/>
        </w:rPr>
        <w:t>采用</w:t>
      </w:r>
      <w:r>
        <w:rPr>
          <w:color w:val="000000"/>
          <w:szCs w:val="21"/>
        </w:rPr>
        <w:t>Time-Series-Library</w:t>
      </w:r>
      <w:r>
        <w:rPr>
          <w:color w:val="000000"/>
          <w:szCs w:val="21"/>
        </w:rPr>
        <w:t>中固定版本的原始模型逻辑，并通过适配器接入与其他模型相同的数据划分、预处理和训练接口；固定等权多尺度与本文方法使用相同的尺度集合</w:t>
      </w:r>
      <w:r>
        <w:rPr>
          <w:color w:val="000000"/>
          <w:szCs w:val="21"/>
        </w:rPr>
        <w:t>{1,2,4}</w:t>
      </w:r>
      <w:r>
        <w:rPr>
          <w:color w:val="000000"/>
          <w:szCs w:val="21"/>
        </w:rPr>
        <w:t>和</w:t>
      </w:r>
      <w:r>
        <w:rPr>
          <w:color w:val="000000"/>
          <w:szCs w:val="21"/>
        </w:rPr>
        <w:t>DLinear</w:t>
      </w:r>
      <w:r>
        <w:rPr>
          <w:color w:val="000000"/>
          <w:szCs w:val="21"/>
        </w:rPr>
        <w:t>专家，仅将三个尺度权重固定为</w:t>
      </w:r>
      <w:r>
        <w:rPr>
          <w:color w:val="000000"/>
          <w:szCs w:val="21"/>
        </w:rPr>
        <w:t>1/3</w:t>
      </w:r>
      <w:r>
        <w:rPr>
          <w:color w:val="000000"/>
          <w:szCs w:val="21"/>
        </w:rPr>
        <w:t>，用于隔离样本级动态加权的贡献。</w:t>
      </w:r>
    </w:p>
    <w:p w14:paraId="2BE60480" w14:textId="77777777" w:rsidR="00B14FA3" w:rsidRPr="00B14FA3" w:rsidRDefault="00B14FA3" w:rsidP="00B14FA3">
      <w:r>
        <w:rPr>
          <w:color w:val="000000"/>
          <w:szCs w:val="21"/>
        </w:rPr>
        <w:t>采用均方误差（</w:t>
      </w:r>
      <w:r>
        <w:rPr>
          <w:color w:val="000000"/>
          <w:szCs w:val="21"/>
        </w:rPr>
        <w:t>mean squared error</w:t>
      </w:r>
      <w:r>
        <w:rPr>
          <w:color w:val="000000"/>
          <w:szCs w:val="21"/>
        </w:rPr>
        <w:t>，</w:t>
      </w:r>
      <w:r>
        <w:rPr>
          <w:color w:val="000000"/>
          <w:szCs w:val="21"/>
        </w:rPr>
        <w:t>MSE</w:t>
      </w:r>
      <w:r>
        <w:rPr>
          <w:color w:val="000000"/>
          <w:szCs w:val="21"/>
        </w:rPr>
        <w:t>）、平均绝对误差（</w:t>
      </w:r>
      <w:r>
        <w:rPr>
          <w:color w:val="000000"/>
          <w:szCs w:val="21"/>
        </w:rPr>
        <w:t>mean absolute error</w:t>
      </w:r>
      <w:r>
        <w:rPr>
          <w:color w:val="000000"/>
          <w:szCs w:val="21"/>
        </w:rPr>
        <w:t>，</w:t>
      </w:r>
      <w:r>
        <w:rPr>
          <w:color w:val="000000"/>
          <w:szCs w:val="21"/>
        </w:rPr>
        <w:t>MAE</w:t>
      </w:r>
      <w:r>
        <w:rPr>
          <w:color w:val="000000"/>
          <w:szCs w:val="21"/>
        </w:rPr>
        <w:t>）和均方根误差（</w:t>
      </w:r>
      <w:r>
        <w:rPr>
          <w:color w:val="000000"/>
          <w:szCs w:val="21"/>
        </w:rPr>
        <w:t>root mean squared error</w:t>
      </w:r>
      <w:r>
        <w:rPr>
          <w:color w:val="000000"/>
          <w:szCs w:val="21"/>
        </w:rPr>
        <w:t>，</w:t>
      </w:r>
      <w:r>
        <w:rPr>
          <w:color w:val="000000"/>
          <w:szCs w:val="21"/>
        </w:rPr>
        <w:t>RMSE</w:t>
      </w:r>
      <w:r>
        <w:rPr>
          <w:color w:val="000000"/>
          <w:szCs w:val="21"/>
        </w:rPr>
        <w:t>）评价预测性能。</w:t>
      </w:r>
      <w:r>
        <w:rPr>
          <w:color w:val="000000"/>
          <w:szCs w:val="21"/>
        </w:rPr>
        <w:t>MSE</w:t>
      </w:r>
      <w:r>
        <w:rPr>
          <w:color w:val="000000"/>
          <w:szCs w:val="21"/>
        </w:rPr>
        <w:t>按式（</w:t>
      </w:r>
      <w:r>
        <w:rPr>
          <w:color w:val="000000"/>
          <w:szCs w:val="21"/>
        </w:rPr>
        <w:t>14</w:t>
      </w:r>
      <w:r>
        <w:rPr>
          <w:color w:val="000000"/>
          <w:szCs w:val="21"/>
        </w:rPr>
        <w:t>）计算；设测试集包含</w:t>
      </w:r>
      <w:r>
        <w:rPr>
          <w:color w:val="000000"/>
          <w:szCs w:val="21"/>
        </w:rPr>
        <w:t>Nte</w:t>
      </w:r>
      <w:r>
        <w:rPr>
          <w:color w:val="000000"/>
          <w:szCs w:val="21"/>
        </w:rPr>
        <w:t>个窗口，则</w:t>
      </w:r>
      <w:r>
        <w:rPr>
          <w:color w:val="000000"/>
          <w:szCs w:val="21"/>
        </w:rPr>
        <w:t>MAE</w:t>
      </w:r>
      <w:r>
        <w:rPr>
          <w:color w:val="000000"/>
          <w:szCs w:val="21"/>
        </w:rPr>
        <w:t>和</w:t>
      </w:r>
      <w:r>
        <w:rPr>
          <w:color w:val="000000"/>
          <w:szCs w:val="21"/>
        </w:rPr>
        <w:t>RMSE</w:t>
      </w:r>
      <w:r>
        <w:rPr>
          <w:color w:val="000000"/>
          <w:szCs w:val="21"/>
        </w:rPr>
        <w:t>分别为</w:t>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MAE=</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sSub>
                  <m:sSubPr>
                    <m:ctrlPr>
                      <w:rPr>
                        <w:rFonts w:ascii="Cambria Math" w:eastAsia="Cambria Math" w:hAnsi="Cambria Math"/>
                        <w:i/>
                        <w:kern w:val="0"/>
                        <w:szCs w:val="20"/>
                      </w:rPr>
                    </m:ctrlPr>
                  </m:sSubPr>
                  <m:e>
                    <m:r>
                      <w:rPr>
                        <w:rFonts w:ascii="Cambria Math" w:eastAsia="Cambria Math" w:hAnsi="Cambria Math"/>
                        <w:kern w:val="0"/>
                        <w:szCs w:val="20"/>
                      </w:rPr>
                      <m:t>N</m:t>
                    </m:r>
                  </m:e>
                  <m:sub>
                    <m:d>
                      <m:dPr>
                        <m:begChr m:val="{"/>
                        <m:endChr m:val="}"/>
                        <m:ctrlPr>
                          <w:rPr>
                            <w:rFonts w:ascii="Cambria Math" w:eastAsia="Cambria Math" w:hAnsi="Cambria Math"/>
                            <w:i/>
                            <w:kern w:val="0"/>
                            <w:szCs w:val="20"/>
                          </w:rPr>
                        </m:ctrlPr>
                      </m:dPr>
                      <m:e>
                        <m:r>
                          <m:rPr>
                            <m:sty m:val="p"/>
                          </m:rPr>
                          <w:rPr>
                            <w:rFonts w:ascii="Cambria Math" w:eastAsia="Cambria Math" w:hAnsi="Cambria Math"/>
                            <w:kern w:val="0"/>
                            <w:szCs w:val="20"/>
                          </w:rPr>
                          <m:t>te</m:t>
                        </m:r>
                      </m:e>
                    </m:d>
                    <m:r>
                      <w:rPr>
                        <w:rFonts w:ascii="Cambria Math" w:eastAsia="Cambria Math" w:hAnsi="Cambria Math"/>
                        <w:kern w:val="0"/>
                        <w:szCs w:val="20"/>
                      </w:rPr>
                      <m:t>HC</m:t>
                    </m:r>
                  </m:sub>
                </m:sSub>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e>
            </m:d>
          </m:sub>
        </m:sSub>
        <m:r>
          <w:rPr>
            <w:rFonts w:ascii="Cambria Math" w:eastAsia="Cambria Math" w:hAnsi="Cambria Math"/>
            <w:kern w:val="0"/>
            <w:szCs w:val="20"/>
          </w: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RMSE=</m:t>
        </m:r>
        <m:rad>
          <m:radPr>
            <m:degHide m:val="1"/>
            <m:ctrlPr>
              <w:rPr>
                <w:rFonts w:ascii="Cambria Math" w:eastAsia="Cambria Math" w:hAnsi="Cambria Math"/>
                <w:i/>
                <w:kern w:val="0"/>
                <w:szCs w:val="20"/>
              </w:rPr>
            </m:ctrlPr>
          </m:radPr>
          <m:deg/>
          <m:e>
            <m:r>
              <m:rPr>
                <m:sty m:val="p"/>
              </m:rPr>
              <w:rPr>
                <w:rFonts w:ascii="Cambria Math" w:eastAsia="Cambria Math" w:hAnsi="Cambria Math"/>
                <w:kern w:val="0"/>
                <w:szCs w:val="20"/>
              </w:rPr>
              <m:t>MSE</m:t>
            </m:r>
          </m:e>
        </m:rad>
        <m:r>
          <w:rPr>
            <w:rFonts w:ascii="Cambria Math" w:eastAsia="Cambria Math" w:hAnsi="Cambria Math"/>
            <w:kern w:val="0"/>
            <w:szCs w:val="20"/>
          </w:rPr>
          <m:t>.</m:t>
        </m:r>
      </m:oMath>
      <w:r w:rsidRPr="00B14FA3">
        <w:rPr>
          <w:color w:val="000000"/>
          <w:kern w:val="0"/>
          <w:szCs w:val="20"/>
        </w:rPr>
        <w:tab/>
        <w:t>(16)</w:t>
      </w:r>
    </w:p>
    <w:p w14:paraId="015A2BBD" w14:textId="77777777" w:rsidR="00B14FA3" w:rsidRPr="00B14FA3" w:rsidRDefault="00B14FA3" w:rsidP="00B14FA3">
      <w:r>
        <w:rPr>
          <w:color w:val="000000"/>
          <w:szCs w:val="21"/>
        </w:rPr>
        <w:t>上述指标均在标准化空间中计算，数值越小表示预测误差越低。由于</w:t>
      </w:r>
      <w:r>
        <w:rPr>
          <w:color w:val="000000"/>
          <w:szCs w:val="21"/>
        </w:rPr>
        <w:t>RMSE</w:t>
      </w:r>
      <w:r>
        <w:rPr>
          <w:color w:val="000000"/>
          <w:szCs w:val="21"/>
        </w:rPr>
        <w:t>是</w:t>
      </w:r>
      <w:r>
        <w:rPr>
          <w:color w:val="000000"/>
          <w:szCs w:val="21"/>
        </w:rPr>
        <w:t>MSE</w:t>
      </w:r>
      <w:r>
        <w:rPr>
          <w:color w:val="000000"/>
          <w:szCs w:val="21"/>
        </w:rPr>
        <w:t>的单调变换，正文表格主要报告</w:t>
      </w:r>
      <w:r>
        <w:rPr>
          <w:color w:val="000000"/>
          <w:szCs w:val="21"/>
        </w:rPr>
        <w:t>MSE</w:t>
      </w:r>
      <w:r>
        <w:rPr>
          <w:color w:val="000000"/>
          <w:szCs w:val="21"/>
        </w:rPr>
        <w:t>和</w:t>
      </w:r>
      <w:r>
        <w:rPr>
          <w:color w:val="000000"/>
          <w:szCs w:val="21"/>
        </w:rPr>
        <w:t>MAE</w:t>
      </w:r>
      <w:r>
        <w:rPr>
          <w:color w:val="000000"/>
          <w:szCs w:val="21"/>
        </w:rPr>
        <w:t>。外部基线比较以</w:t>
      </w:r>
      <w:r>
        <w:rPr>
          <w:color w:val="000000"/>
          <w:szCs w:val="21"/>
        </w:rPr>
        <w:t>3</w:t>
      </w:r>
      <w:r>
        <w:rPr>
          <w:color w:val="000000"/>
          <w:szCs w:val="21"/>
        </w:rPr>
        <w:t>个共同随机种子的均值</w:t>
      </w:r>
      <w:r>
        <w:rPr>
          <w:color w:val="000000"/>
          <w:szCs w:val="21"/>
        </w:rPr>
        <w:t>±</w:t>
      </w:r>
      <w:r>
        <w:rPr>
          <w:color w:val="000000"/>
          <w:szCs w:val="21"/>
        </w:rPr>
        <w:t>样本标准差表示；核心机制分析以</w:t>
      </w:r>
      <w:r>
        <w:rPr>
          <w:color w:val="000000"/>
          <w:szCs w:val="21"/>
        </w:rPr>
        <w:t>8</w:t>
      </w:r>
      <w:r>
        <w:rPr>
          <w:color w:val="000000"/>
          <w:szCs w:val="21"/>
        </w:rPr>
        <w:t>个随机种子的均值</w:t>
      </w:r>
      <w:r>
        <w:rPr>
          <w:color w:val="000000"/>
          <w:szCs w:val="21"/>
        </w:rPr>
        <w:t>±</w:t>
      </w:r>
      <w:r>
        <w:rPr>
          <w:color w:val="000000"/>
          <w:szCs w:val="21"/>
        </w:rPr>
        <w:t>样本标准差表示，并对相同随机种子下的模型结果进行双侧配对</w:t>
      </w:r>
      <w:r>
        <w:rPr>
          <w:color w:val="000000"/>
          <w:szCs w:val="21"/>
        </w:rPr>
        <w:t>t</w:t>
      </w:r>
      <w:r>
        <w:rPr>
          <w:color w:val="000000"/>
          <w:szCs w:val="21"/>
        </w:rPr>
        <w:t>检验和</w:t>
      </w:r>
      <w:r>
        <w:rPr>
          <w:color w:val="000000"/>
          <w:szCs w:val="21"/>
        </w:rPr>
        <w:t>95%</w:t>
      </w:r>
      <w:r>
        <w:rPr>
          <w:color w:val="000000"/>
          <w:szCs w:val="21"/>
        </w:rPr>
        <w:t>置信区间分析。测试窗口仅用于计算误差，不作为独立统计重复。</w:t>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为保证外部模型比较的重复次数一致，表</w:t>
      </w:r>
      <w:r>
        <w:rPr>
          <w:color w:val="000000"/>
          <w:szCs w:val="21"/>
        </w:rPr>
        <w:t>2</w:t>
      </w:r>
      <w:r>
        <w:rPr>
          <w:color w:val="000000"/>
          <w:szCs w:val="21"/>
        </w:rPr>
        <w:t>仅统计随机种子</w:t>
      </w:r>
      <w:r>
        <w:rPr>
          <w:color w:val="000000"/>
          <w:szCs w:val="21"/>
        </w:rPr>
        <w:t>42</w:t>
      </w:r>
      <w:r>
        <w:rPr>
          <w:color w:val="000000"/>
          <w:szCs w:val="21"/>
        </w:rPr>
        <w:t>、</w:t>
      </w:r>
      <w:r>
        <w:rPr>
          <w:color w:val="000000"/>
          <w:szCs w:val="21"/>
        </w:rPr>
        <w:t>43</w:t>
      </w:r>
      <w:r>
        <w:rPr>
          <w:color w:val="000000"/>
          <w:szCs w:val="21"/>
        </w:rPr>
        <w:t>和</w:t>
      </w:r>
      <w:r>
        <w:rPr>
          <w:color w:val="000000"/>
          <w:szCs w:val="21"/>
        </w:rPr>
        <w:t>44</w:t>
      </w:r>
      <w:r>
        <w:rPr>
          <w:color w:val="000000"/>
          <w:szCs w:val="21"/>
        </w:rPr>
        <w:t>。在</w:t>
      </w:r>
      <w:r>
        <w:rPr>
          <w:color w:val="000000"/>
          <w:szCs w:val="21"/>
        </w:rPr>
        <w:t>Abilene</w:t>
      </w:r>
      <w:r>
        <w:rPr>
          <w:color w:val="000000"/>
          <w:szCs w:val="21"/>
        </w:rPr>
        <w:t>上，本文方法的</w:t>
      </w:r>
      <w:r>
        <w:rPr>
          <w:color w:val="000000"/>
          <w:szCs w:val="21"/>
        </w:rPr>
        <w:t>MSE</w:t>
      </w:r>
      <w:r>
        <w:rPr>
          <w:color w:val="000000"/>
          <w:szCs w:val="21"/>
        </w:rPr>
        <w:t>和</w:t>
      </w:r>
      <w:r>
        <w:rPr>
          <w:color w:val="000000"/>
          <w:szCs w:val="21"/>
        </w:rPr>
        <w:t>MAE</w:t>
      </w:r>
      <w:r>
        <w:rPr>
          <w:color w:val="000000"/>
          <w:szCs w:val="21"/>
        </w:rPr>
        <w:t>分别为</w:t>
      </w:r>
      <w:r>
        <w:rPr>
          <w:color w:val="000000"/>
          <w:szCs w:val="21"/>
        </w:rPr>
        <w:t>0.186±0.002</w:t>
      </w:r>
      <w:r>
        <w:rPr>
          <w:color w:val="000000"/>
          <w:szCs w:val="21"/>
        </w:rPr>
        <w:t>和</w:t>
      </w:r>
      <w:r>
        <w:rPr>
          <w:color w:val="000000"/>
          <w:szCs w:val="21"/>
        </w:rPr>
        <w:t>0.168±0.001</w:t>
      </w:r>
      <w:r>
        <w:rPr>
          <w:color w:val="000000"/>
          <w:szCs w:val="21"/>
        </w:rPr>
        <w:t>，相较</w:t>
      </w:r>
      <w:r>
        <w:rPr>
          <w:color w:val="000000"/>
          <w:szCs w:val="21"/>
        </w:rPr>
        <w:t>DLinear</w:t>
      </w:r>
      <w:r>
        <w:rPr>
          <w:color w:val="000000"/>
          <w:szCs w:val="21"/>
        </w:rPr>
        <w:t>分别降低</w:t>
      </w:r>
      <w:r>
        <w:rPr>
          <w:color w:val="000000"/>
          <w:szCs w:val="21"/>
        </w:rPr>
        <w:t>4.06%</w:t>
      </w:r>
      <w:r>
        <w:rPr>
          <w:color w:val="000000"/>
          <w:szCs w:val="21"/>
        </w:rPr>
        <w:t>和</w:t>
      </w:r>
      <w:r>
        <w:rPr>
          <w:color w:val="000000"/>
          <w:szCs w:val="21"/>
        </w:rPr>
        <w:t>10.52%</w:t>
      </w:r>
      <w:r>
        <w:rPr>
          <w:color w:val="000000"/>
          <w:szCs w:val="21"/>
        </w:rPr>
        <w:t>，相较</w:t>
      </w:r>
      <w:r>
        <w:rPr>
          <w:color w:val="000000"/>
          <w:szCs w:val="21"/>
        </w:rPr>
        <w:t>LightTS</w:t>
      </w:r>
      <w:r>
        <w:rPr>
          <w:color w:val="000000"/>
          <w:szCs w:val="21"/>
        </w:rPr>
        <w:t>分别降低</w:t>
      </w:r>
      <w:r>
        <w:rPr>
          <w:color w:val="000000"/>
          <w:szCs w:val="21"/>
        </w:rPr>
        <w:t>29.89%</w:t>
      </w:r>
      <w:r>
        <w:rPr>
          <w:color w:val="000000"/>
          <w:szCs w:val="21"/>
        </w:rPr>
        <w:t>和</w:t>
      </w:r>
      <w:r>
        <w:rPr>
          <w:color w:val="000000"/>
          <w:szCs w:val="21"/>
        </w:rPr>
        <w:t>17.65%</w:t>
      </w:r>
      <w:r>
        <w:rPr>
          <w:color w:val="000000"/>
          <w:szCs w:val="21"/>
        </w:rPr>
        <w:t>。在</w:t>
      </w:r>
      <w:r>
        <w:rPr>
          <w:color w:val="000000"/>
          <w:szCs w:val="21"/>
        </w:rPr>
        <w:t>GÉANT</w:t>
      </w:r>
      <w:r>
        <w:rPr>
          <w:color w:val="000000"/>
          <w:szCs w:val="21"/>
        </w:rPr>
        <w:t>上，本文方法的</w:t>
      </w:r>
      <w:r>
        <w:rPr>
          <w:color w:val="000000"/>
          <w:szCs w:val="21"/>
        </w:rPr>
        <w:t>MSE</w:t>
      </w:r>
      <w:r>
        <w:rPr>
          <w:color w:val="000000"/>
          <w:szCs w:val="21"/>
        </w:rPr>
        <w:t>和</w:t>
      </w:r>
      <w:r>
        <w:rPr>
          <w:color w:val="000000"/>
          <w:szCs w:val="21"/>
        </w:rPr>
        <w:t>MAE</w:t>
      </w:r>
      <w:r>
        <w:rPr>
          <w:color w:val="000000"/>
          <w:szCs w:val="21"/>
        </w:rPr>
        <w:t>分别为</w:t>
      </w:r>
      <w:r>
        <w:rPr>
          <w:color w:val="000000"/>
          <w:szCs w:val="21"/>
        </w:rPr>
        <w:t>0.434±0.051</w:t>
      </w:r>
      <w:r>
        <w:rPr>
          <w:color w:val="000000"/>
          <w:szCs w:val="21"/>
        </w:rPr>
        <w:t>和</w:t>
      </w:r>
      <w:r>
        <w:rPr>
          <w:color w:val="000000"/>
          <w:szCs w:val="21"/>
        </w:rPr>
        <w:t>0.370±0.031</w:t>
      </w:r>
      <w:r>
        <w:rPr>
          <w:color w:val="000000"/>
          <w:szCs w:val="21"/>
        </w:rPr>
        <w:t>，相较</w:t>
      </w:r>
      <w:r>
        <w:rPr>
          <w:color w:val="000000"/>
          <w:szCs w:val="21"/>
        </w:rPr>
        <w:t>DLinear</w:t>
      </w:r>
      <w:r>
        <w:rPr>
          <w:color w:val="000000"/>
          <w:szCs w:val="21"/>
        </w:rPr>
        <w:t>分别降低</w:t>
      </w:r>
      <w:r>
        <w:rPr>
          <w:color w:val="000000"/>
          <w:szCs w:val="21"/>
        </w:rPr>
        <w:t>4.43%</w:t>
      </w:r>
      <w:r>
        <w:rPr>
          <w:color w:val="000000"/>
          <w:szCs w:val="21"/>
        </w:rPr>
        <w:t>和</w:t>
      </w:r>
      <w:r>
        <w:rPr>
          <w:color w:val="000000"/>
          <w:szCs w:val="21"/>
        </w:rPr>
        <w:t>3.46%</w:t>
      </w:r>
      <w:r>
        <w:rPr>
          <w:color w:val="000000"/>
          <w:szCs w:val="21"/>
        </w:rPr>
        <w:t>，相较</w:t>
      </w:r>
      <w:r>
        <w:rPr>
          <w:color w:val="000000"/>
          <w:szCs w:val="21"/>
        </w:rPr>
        <w:t>LightTS</w:t>
      </w:r>
      <w:r>
        <w:rPr>
          <w:color w:val="000000"/>
          <w:szCs w:val="21"/>
        </w:rPr>
        <w:t>分别降低</w:t>
      </w:r>
      <w:r>
        <w:rPr>
          <w:color w:val="000000"/>
          <w:szCs w:val="21"/>
        </w:rPr>
        <w:t>46.83%</w:t>
      </w:r>
      <w:r>
        <w:rPr>
          <w:color w:val="000000"/>
          <w:szCs w:val="21"/>
        </w:rPr>
        <w:t>和</w:t>
      </w:r>
      <w:r>
        <w:rPr>
          <w:color w:val="000000"/>
          <w:szCs w:val="21"/>
        </w:rPr>
        <w:t>29.29%</w:t>
      </w:r>
      <w:r>
        <w:rPr>
          <w:color w:val="000000"/>
          <w:szCs w:val="21"/>
        </w:rPr>
        <w:t>。</w:t>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两数据集的平均结果均表明，自适应多尺度融合能够在统一的数据划分、预处理和预测任务设置下降低预测误差。同时，本文方法仅含</w:t>
      </w:r>
      <w:r>
        <w:rPr>
          <w:color w:val="000000"/>
          <w:szCs w:val="21"/>
        </w:rPr>
        <w:t>8339</w:t>
      </w:r>
      <w:r>
        <w:rPr>
          <w:color w:val="000000"/>
          <w:szCs w:val="21"/>
        </w:rPr>
        <w:t>个可训练参数，明显少于当前适配下的</w:t>
      </w:r>
      <w:r>
        <w:rPr>
          <w:color w:val="000000"/>
          <w:szCs w:val="21"/>
        </w:rPr>
        <w:t>LightTS</w:t>
      </w:r>
      <w:r>
        <w:rPr>
          <w:color w:val="000000"/>
          <w:szCs w:val="21"/>
        </w:rPr>
        <w:t>；但参数量仅反映模型规模，不等同于训练或推理速度。此外，</w:t>
      </w:r>
      <w:r>
        <w:rPr>
          <w:color w:val="000000"/>
          <w:szCs w:val="21"/>
        </w:rPr>
        <w:t>GÉANT</w:t>
      </w:r>
      <w:r>
        <w:rPr>
          <w:color w:val="000000"/>
          <w:szCs w:val="21"/>
        </w:rPr>
        <w:t>上的标准差明显高于</w:t>
      </w:r>
      <w:r>
        <w:rPr>
          <w:color w:val="000000"/>
          <w:szCs w:val="21"/>
        </w:rPr>
        <w:t>Abilene</w:t>
      </w:r>
      <w:r>
        <w:rPr>
          <w:color w:val="000000"/>
          <w:szCs w:val="21"/>
        </w:rPr>
        <w:t>，因此外部基线结果用于说明当前统一实验协议下的相对表现，不据此推断本文方法在其他任务上普遍优于</w:t>
      </w:r>
      <w:r>
        <w:rPr>
          <w:color w:val="000000"/>
          <w:szCs w:val="21"/>
        </w:rPr>
        <w:t>LightTS</w:t>
      </w:r>
      <w:r>
        <w:rPr>
          <w:color w:val="000000"/>
          <w:szCs w:val="21"/>
        </w:rPr>
        <w:t>。</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w:t>
      </w:r>
      <w:r>
        <w:rPr>
          <w:color w:val="000000"/>
          <w:szCs w:val="21"/>
        </w:rPr>
        <w:t>3</w:t>
      </w:r>
      <w:r>
        <w:rPr>
          <w:color w:val="000000"/>
          <w:szCs w:val="21"/>
        </w:rPr>
        <w:t>进一步使用随机种子</w:t>
      </w:r>
      <w:r>
        <w:rPr>
          <w:color w:val="000000"/>
          <w:szCs w:val="21"/>
        </w:rPr>
        <w:t>42—49</w:t>
      </w:r>
      <w:r>
        <w:rPr>
          <w:color w:val="000000"/>
          <w:szCs w:val="21"/>
        </w:rPr>
        <w:t>比较</w:t>
      </w:r>
      <w:r>
        <w:rPr>
          <w:color w:val="000000"/>
          <w:szCs w:val="21"/>
        </w:rPr>
        <w:t>DLinear</w:t>
      </w:r>
      <w:r>
        <w:rPr>
          <w:color w:val="000000"/>
          <w:szCs w:val="21"/>
        </w:rPr>
        <w:t>、固定等权多尺度和自适应多尺度。在</w:t>
      </w:r>
      <w:r>
        <w:rPr>
          <w:color w:val="000000"/>
          <w:szCs w:val="21"/>
        </w:rPr>
        <w:t>Abilene</w:t>
      </w:r>
      <w:r>
        <w:rPr>
          <w:color w:val="000000"/>
          <w:szCs w:val="21"/>
        </w:rPr>
        <w:t>上，本文方法相较</w:t>
      </w:r>
      <w:r>
        <w:rPr>
          <w:color w:val="000000"/>
          <w:szCs w:val="21"/>
        </w:rPr>
        <w:t>DLinear</w:t>
      </w:r>
      <w:r>
        <w:rPr>
          <w:color w:val="000000"/>
          <w:szCs w:val="21"/>
        </w:rPr>
        <w:t>的</w:t>
      </w:r>
      <w:r>
        <w:rPr>
          <w:color w:val="000000"/>
          <w:szCs w:val="21"/>
        </w:rPr>
        <w:t>MSE</w:t>
      </w:r>
      <w:r>
        <w:rPr>
          <w:color w:val="000000"/>
          <w:szCs w:val="21"/>
        </w:rPr>
        <w:t>和</w:t>
      </w:r>
      <w:r>
        <w:rPr>
          <w:color w:val="000000"/>
          <w:szCs w:val="21"/>
        </w:rPr>
        <w:t>MAE</w:t>
      </w:r>
      <w:r>
        <w:rPr>
          <w:color w:val="000000"/>
          <w:szCs w:val="21"/>
        </w:rPr>
        <w:t>分别降低</w:t>
      </w:r>
      <w:r>
        <w:rPr>
          <w:color w:val="000000"/>
          <w:szCs w:val="21"/>
        </w:rPr>
        <w:t>2.77%</w:t>
      </w:r>
      <w:r>
        <w:rPr>
          <w:color w:val="000000"/>
          <w:szCs w:val="21"/>
        </w:rPr>
        <w:t>和</w:t>
      </w:r>
      <w:r>
        <w:rPr>
          <w:color w:val="000000"/>
          <w:szCs w:val="21"/>
        </w:rPr>
        <w:t>8.23%</w:t>
      </w:r>
      <w:r>
        <w:rPr>
          <w:color w:val="000000"/>
          <w:szCs w:val="21"/>
        </w:rPr>
        <w:t>，相较固定等权多尺度分别降低</w:t>
      </w:r>
      <w:r>
        <w:rPr>
          <w:color w:val="000000"/>
          <w:szCs w:val="21"/>
        </w:rPr>
        <w:t>1.67%</w:t>
      </w:r>
      <w:r>
        <w:rPr>
          <w:color w:val="000000"/>
          <w:szCs w:val="21"/>
        </w:rPr>
        <w:t>和</w:t>
      </w:r>
      <w:r>
        <w:rPr>
          <w:color w:val="000000"/>
          <w:szCs w:val="21"/>
        </w:rPr>
        <w:t>9.04%</w:t>
      </w:r>
      <w:r>
        <w:rPr>
          <w:color w:val="000000"/>
          <w:szCs w:val="21"/>
        </w:rPr>
        <w:t>；在</w:t>
      </w:r>
      <w:r>
        <w:rPr>
          <w:color w:val="000000"/>
          <w:szCs w:val="21"/>
        </w:rPr>
        <w:t>GÉANT</w:t>
      </w:r>
      <w:r>
        <w:rPr>
          <w:color w:val="000000"/>
          <w:szCs w:val="21"/>
        </w:rPr>
        <w:t>上，相应降幅分别为</w:t>
      </w:r>
      <w:r>
        <w:rPr>
          <w:color w:val="000000"/>
          <w:szCs w:val="21"/>
        </w:rPr>
        <w:t>2.37%</w:t>
      </w:r>
      <w:r>
        <w:rPr>
          <w:color w:val="000000"/>
          <w:szCs w:val="21"/>
        </w:rPr>
        <w:t>、</w:t>
      </w:r>
      <w:r>
        <w:rPr>
          <w:color w:val="000000"/>
          <w:szCs w:val="21"/>
        </w:rPr>
        <w:t>1.35%</w:t>
      </w:r>
      <w:r>
        <w:rPr>
          <w:color w:val="000000"/>
          <w:szCs w:val="21"/>
        </w:rPr>
        <w:t>以及</w:t>
      </w:r>
      <w:r>
        <w:rPr>
          <w:color w:val="000000"/>
          <w:szCs w:val="21"/>
        </w:rPr>
        <w:t>4.68%</w:t>
      </w:r>
      <w:r>
        <w:rPr>
          <w:color w:val="000000"/>
          <w:szCs w:val="21"/>
        </w:rPr>
        <w:t>、</w:t>
      </w:r>
      <w:r>
        <w:rPr>
          <w:color w:val="000000"/>
          <w:szCs w:val="21"/>
        </w:rPr>
        <w:t>3.14%</w:t>
      </w:r>
      <w:r>
        <w:rPr>
          <w:color w:val="000000"/>
          <w:szCs w:val="21"/>
        </w:rPr>
        <w:t>。固定等权模型含</w:t>
      </w:r>
      <w:r>
        <w:rPr>
          <w:color w:val="000000"/>
          <w:szCs w:val="21"/>
        </w:rPr>
        <w:t>8208</w:t>
      </w:r>
      <w:r>
        <w:rPr>
          <w:color w:val="000000"/>
          <w:szCs w:val="21"/>
        </w:rPr>
        <w:t>个参数，而本文方法含</w:t>
      </w:r>
      <w:r>
        <w:rPr>
          <w:color w:val="000000"/>
          <w:szCs w:val="21"/>
        </w:rPr>
        <w:t>8339</w:t>
      </w:r>
      <w:r>
        <w:rPr>
          <w:color w:val="000000"/>
          <w:szCs w:val="21"/>
        </w:rPr>
        <w:t>个参数，说明样本级路由仅增加</w:t>
      </w:r>
      <w:r>
        <w:rPr>
          <w:color w:val="000000"/>
          <w:szCs w:val="21"/>
        </w:rPr>
        <w:t>131</w:t>
      </w:r>
      <w:r>
        <w:rPr>
          <w:color w:val="000000"/>
          <w:szCs w:val="21"/>
        </w:rPr>
        <w:t>个参数。</w:t>
      </w:r>
    </w:p>
    <w:p w14:paraId="7719DA9B"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3 </w:t>
      </w:r>
      <w:r>
        <w:rPr>
          <w:rFonts w:eastAsia="黑体"/>
          <w:b/>
          <w:color w:val="000000"/>
          <w:sz w:val="18"/>
        </w:rPr>
        <w:t>八随机种子核心模型结果</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ind w:firstLine="0"/>
              <w:jc w:val="left"/>
            </w:pPr>
            <w:r>
              <w:rPr>
                <w:color w:val="000000"/>
                <w:szCs w:val="21"/>
              </w:rPr>
              <w:t>0.366±0.018</w:t>
            </w:r>
          </w:p>
        </w:tc>
      </w:tr>
    </w:tbl>
    <w:p w14:paraId="68B92BCA" w14:textId="77777777" w:rsidR="00B14FA3" w:rsidRPr="00B14FA3" w:rsidRDefault="00B14FA3" w:rsidP="00B14FA3">
      <w:r>
        <w:rPr>
          <w:color w:val="000000"/>
          <w:szCs w:val="21"/>
        </w:rPr>
        <w:t>同种子配对结果及配对差值分布见图2。图2上排灰线连接同一随机种子下固定等权与自适应权重模型的MSE，黑色菱形及误差线表示8个随机种子的均值±标准差；下排以ΔMSE=固定等权−自适应权重表示效应方向，圆点表示各随机种子的配对差值，半小提琴表示差值分布，黑色圆点及误差线表示平均ΔMSE及其95%置信区间，其中ΔMSE&gt;0表示自适应权重模型的MSE更低。Abilene中，自适应模型在8个种子中的6个取得更低MSE，平均ΔMSE为0.00320，95%置信区间为[-0.00020,0.00660]，配对t检验p=0.061；GÉANT中为7个，平均ΔMSE为0.02094，95%置信区间为[-0.00958,0.05146]，p=0.149。两数据集的平均差值均为正，说明样本级自适应加权在平均意义上降低了MSE；但相对固定等权的95%置信区间均跨越0，因此不能表述为两数据集均达到统计显著。结合表3可见，Abilene上的跨种子波动较小，而GÉANT仍存在更明显的稳定性提升空间。</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rsidRPr="00B14FA3">
        <w:rPr>
          <w:noProof/>
        </w:rPr>
        <w:drawing>
          <wp:inline distT="0" distB="0" distL="0" distR="0" wp14:anchorId="3E6F0209" wp14:editId="369FDCB1">
            <wp:extent cx="5760720" cy="3852073"/>
            <wp:effectExtent l="0" t="0" r="0" b="9525"/>
            <wp:docPr id="20" name="图片 2" descr="已检查的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已检查的图像"/>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3852073"/>
                    </a:xfrm>
                    <a:prstGeom prst="rect">
                      <a:avLst/>
                    </a:prstGeom>
                    <a:noFill/>
                    <a:ln>
                      <a:noFill/>
                    </a:ln>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固定等权与自适应权重的八随机种子配对MSE及配对差值分布</w:t>
      </w:r>
      <w:r>
        <w:rPr>
          <w:rFonts w:eastAsia="黑体"/>
          <w:b/>
          <w:sz w:val="18"/>
          <w:szCs w:val="18"/>
        </w:rPr>
      </w:r>
      <w:r>
        <w:rPr>
          <w:rFonts w:eastAsia="黑体"/>
          <w:b/>
          <w:sz w:val="18"/>
          <w:szCs w:val="18"/>
        </w:rPr>
      </w:r>
      <w:r>
        <w:rPr>
          <w:rFonts w:eastAsia="黑体"/>
          <w:b/>
          <w:sz w:val="18"/>
          <w:szCs w:val="18"/>
        </w:rPr>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2.5 </w:t>
      </w:r>
      <w:r>
        <w:rPr>
          <w:rFonts w:ascii="Arial" w:eastAsia="黑体" w:hAnsi="Arial"/>
          <w:b/>
          <w:bCs/>
          <w:color w:val="000000"/>
          <w:szCs w:val="21"/>
        </w:rPr>
        <w:t>路由行为与适用范围</w:t>
      </w:r>
    </w:p>
    <w:p w14:paraId="0C8325AF" w14:textId="77777777" w:rsidR="00B14FA3" w:rsidRPr="00B14FA3" w:rsidRDefault="00B14FA3" w:rsidP="00B14FA3">
      <w:r>
        <w:rPr>
          <w:color w:val="000000"/>
          <w:szCs w:val="21"/>
        </w:rPr>
        <w:t>为从总体统计视角分析样本级路由器对不同时间尺度的权重分配，图3汇总了Abilene和GÉANT数据集在随机种子42—49下全部测试窗口的三尺度路由权重。图中小提琴轮廓表示样本级权重分布，彩色圆点表示各随机种子的平均权重，黑色菱形及误差线表示8个随机种子均值及标准差，灰色虚线为固定等权基准1/3。</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pPr>
      <w:r>
        <w:drawing>
          <wp:inline xmlns:a="http://schemas.openxmlformats.org/drawingml/2006/main" xmlns:pic="http://schemas.openxmlformats.org/drawingml/2006/picture">
            <wp:extent cx="5760720" cy="2566165"/>
            <wp:docPr id="22" name="Picture 22"/>
            <wp:cNvGraphicFramePr>
              <a:graphicFrameLocks noChangeAspect="1"/>
            </wp:cNvGraphicFramePr>
            <a:graphic>
              <a:graphicData uri="http://schemas.openxmlformats.org/drawingml/2006/picture">
                <pic:pic>
                  <pic:nvPicPr>
                    <pic:cNvPr id="0" name="fig3_router_weight_distribution_color.png"/>
                    <pic:cNvPicPr/>
                  </pic:nvPicPr>
                  <pic:blipFill>
                    <a:blip r:embed="rId13"/>
                    <a:stretch>
                      <a:fillRect/>
                    </a:stretch>
                  </pic:blipFill>
                  <pic:spPr>
                    <a:xfrm>
                      <a:off x="0" y="0"/>
                      <a:ext cx="5760720" cy="2566165"/>
                    </a:xfrm>
                    <a:prstGeom prst="rect"/>
                  </pic:spPr>
                </pic:pic>
              </a:graphicData>
            </a:graphic>
          </wp:inline>
        </w:drawing>
      </w:r>
    </w:p>
    <w:p>
      <w:pPr>
        <w:keepLines/>
        <w:spacing w:before="60" w:after="80"/>
        <w:ind w:firstLine="0"/>
        <w:jc w:val="center"/>
      </w:pPr>
      <w:r>
        <w:rPr>
          <w:rFonts w:eastAsia="黑体"/>
          <w:b/>
          <w:sz w:val="18"/>
          <w:szCs w:val="18"/>
        </w:rPr>
        <w:t>图3 八随机种子下样本级自适应路由权重分布</w:t>
      </w:r>
    </w:p>
    <w:p>
      <w:pPr/>
      <w:r>
        <w:rPr>
          <w:color w:val="000000"/>
          <w:szCs w:val="21"/>
        </w:rPr>
        <w:t>从图3可以看出，两数据集的三尺度权重均呈非退化分布，并未长期固定在1/3。按8个随机种子的平均权重计算，Abilene的α1、α2和α4分别为0.257、0.319和0.424，GÉANT分别为0.283、0.318和0.399；两个数据集上尺度4的平均权重均最高，尺度1最低，尺度2整体接近等权基准。与此同时，不同随机种子的平均权重仍存在明显差异，其中Abilene的尺度2和尺度4离散程度更大。该结果说明路由器并非学习到单一固定尺度，而是在总体尺度偏好基础上保留了随训练初始化和输入样本变化的自适应调节能力。</w:t>
      </w:r>
    </w:p>
    <w:p>
      <w:pPr/>
      <w:r>
        <w:rPr>
          <w:color w:val="000000"/>
          <w:szCs w:val="21"/>
        </w:rPr>
        <w:t>为进一步观察权重在具体测试样本上的动态变化，图4固定选取随机种子42，展示两个数据集测试集前150个窗口的三尺度权重。该选择规则在两数据集间保持一致，仅用于机制可视化，不参与模型优劣的统计比较。</w:t>
      </w:r>
    </w:p>
    <w:p w14:paraId="1E496E50" w14:textId="77777777" w:rsidR="00B14FA3" w:rsidRPr="00B14FA3" w:rsidRDefault="00B14FA3" w:rsidP="00B14FA3">
      <w:pPr>
        <w:keepNext/>
        <w:spacing w:before="60"/>
        <w:ind w:firstLine="0"/>
        <w:jc w:val="center"/>
      </w:pPr>
      <w:r w:rsidRPr="00B14FA3">
        <w:rPr>
          <w:noProof/>
        </w:rPr>
        <w:drawing>
          <wp:inline distT="0" distB="0" distL="0" distR="0" wp14:anchorId="7F717F3E" wp14:editId="6D357394">
            <wp:extent cx="5760720" cy="2512853"/>
            <wp:effectExtent l="0" t="0" r="9525" b="9525"/>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2512853"/>
                    </a:xfrm>
                    <a:prstGeom prst="rect">
                      <a:avLst/>
                    </a:prstGeom>
                    <a:noFill/>
                    <a:ln>
                      <a:noFill/>
                    </a:ln>
                  </pic:spPr>
                </pic:pic>
              </a:graphicData>
            </a:graphic>
          </wp:inline>
        </w:drawing>
      </w:r>
    </w:p>
    <w:p w14:paraId="0219AE56" w14:textId="77777777" w:rsidR="00B14FA3" w:rsidRPr="00B14FA3" w:rsidRDefault="00B14FA3" w:rsidP="00B14FA3">
      <w:pPr>
        <w:keepLines/>
        <w:spacing w:before="60" w:after="80"/>
        <w:ind w:firstLine="0"/>
        <w:jc w:val="center"/>
      </w:pPr>
      <w:r>
        <w:rPr>
          <w:rFonts w:eastAsia="黑体"/>
          <w:b/>
          <w:sz w:val="18"/>
          <w:szCs w:val="18"/>
        </w:rPr>
        <w:t>图4 两数据集样本级路由权重变化（随机种子42，灰色点线为等权基准1/3）</w:t>
      </w:r>
      <w:r>
        <w:rPr>
          <w:rFonts w:eastAsia="黑体"/>
          <w:b/>
          <w:sz w:val="18"/>
          <w:szCs w:val="18"/>
        </w:rPr>
      </w:r>
      <w:r>
        <w:rPr>
          <w:rFonts w:eastAsia="黑体"/>
          <w:b/>
          <w:sz w:val="18"/>
          <w:szCs w:val="18"/>
        </w:rPr>
      </w:r>
      <w:r>
        <w:rPr>
          <w:rFonts w:eastAsia="黑体"/>
          <w:b/>
          <w:sz w:val="18"/>
          <w:szCs w:val="18"/>
        </w:rPr>
      </w:r>
      <w:r>
        <w:rPr>
          <w:rFonts w:eastAsia="黑体"/>
          <w:b/>
          <w:sz w:val="18"/>
          <w:szCs w:val="18"/>
        </w:rPr>
      </w:r>
    </w:p>
    <w:p w14:paraId="2E41C05B" w14:textId="77777777" w:rsidR="00B14FA3" w:rsidRPr="00B14FA3" w:rsidRDefault="00B14FA3" w:rsidP="00B14FA3">
      <w:r>
        <w:rPr>
          <w:color w:val="000000"/>
          <w:szCs w:val="21"/>
        </w:rPr>
        <w:t>图4中三个尺度权重均随测试窗口发生变化，并未长期固定在1/3附近，与图3的总体分布结果相互印证，说明路由器能够依据输入窗口统计状态动态调整尺度组合。以随机种子42为例，两数据集均表现出较明显的尺度偏好变化；但不同随机种子的平均权重并不完全一致，因此不能将某一尺度解释为所有网络场景下持续占优的固定尺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7D35DC" w14:textId="77777777" w:rsidR="00B14FA3" w:rsidRPr="00B14FA3" w:rsidRDefault="00B14FA3" w:rsidP="00B14FA3">
      <w:r>
        <w:rPr>
          <w:color w:val="000000"/>
          <w:szCs w:val="21"/>
        </w:rPr>
        <w:t>综合表2、表3和图2—图4可见，样本级自适应尺度加权的平均收益已在Abilene和GÉANT两个骨干网数据集上得到验证，路由权重的总体分布与局部动态也表明模型确实在不同时间尺度之间进行自适应调节；但GÉANT上的跨种子方差更大，稳定性仍有提升空间。当前实验仅考察L=96、H=24的单一预测设置，未显式建模网络拓扑，外部模型也仅包含LightTS一种轻量基线；同时，“轻量”主要指参数规模，而非训练时间最短。因此，后续仍需在更多网络、预测长度和拓扑约束条件下进一步检验泛化性。</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2.6 代表性窗口预测结果</w:t>
      </w:r>
    </w:p>
    <w:p w14:paraId="0C8325AF" w14:textId="77777777" w:rsidR="00B14FA3" w:rsidRPr="00B14FA3" w:rsidRDefault="00B14FA3" w:rsidP="00B14FA3">
      <w:r>
        <w:rPr>
          <w:color w:val="000000"/>
          <w:szCs w:val="21"/>
        </w:rPr>
        <w:t>为直观展示模型的24步预测行为，图5固定随机种子42，并分别从两个数据集选择本文方法窗口MAE最接近测试集窗口中位数的测试窗口；随后在该窗口中选择真实值标准差最接近非恒定OD通道中位数的通道。该规则用于选择典型而非最佳案例，不依据本文方法相对DLinear的优势筛选。图中流量均为与指标计算一致的标准化数值。</w:t>
      </w:r>
    </w:p>
    <w:p>
      <w:pPr>
        <w:jc w:val="center"/>
        <w:keepNext/>
      </w:pPr>
      <w:r>
        <w:drawing>
          <wp:inline xmlns:a="http://schemas.openxmlformats.org/drawingml/2006/main" xmlns:pic="http://schemas.openxmlformats.org/drawingml/2006/picture">
            <wp:extent cx="5760720" cy="2061201"/>
            <wp:docPr id="23" name="图5 Abilene与GÉANT代表性预测窗口" descr="Abilene和GÉANT代表性测试窗口中真实值、DLinear与本文方法的24步标准化流量预测曲线。"/>
            <wp:cNvGraphicFramePr>
              <a:graphicFrameLocks noChangeAspect="1"/>
            </wp:cNvGraphicFramePr>
            <a:graphic>
              <a:graphicData uri="http://schemas.openxmlformats.org/drawingml/2006/picture">
                <pic:pic>
                  <pic:nvPicPr>
                    <pic:cNvPr id="0" name="fig5_representative_forecasts.png"/>
                    <pic:cNvPicPr/>
                  </pic:nvPicPr>
                  <pic:blipFill>
                    <a:blip r:embed="rId14"/>
                    <a:stretch>
                      <a:fillRect/>
                    </a:stretch>
                  </pic:blipFill>
                  <pic:spPr>
                    <a:xfrm>
                      <a:off x="0" y="0"/>
                      <a:ext cx="5760720" cy="2061201"/>
                    </a:xfrm>
                    <a:prstGeom prst="rect"/>
                  </pic:spPr>
                </pic:pic>
              </a:graphicData>
            </a:graphic>
          </wp:inline>
        </w:drawing>
      </w:r>
    </w:p>
    <w:p w14:paraId="0219AE56" w14:textId="77777777" w:rsidR="00B14FA3" w:rsidRPr="00B14FA3" w:rsidRDefault="00B14FA3" w:rsidP="00B14FA3">
      <w:pPr>
        <w:keepLines/>
        <w:spacing w:before="60" w:after="80"/>
        <w:ind w:firstLine="0"/>
        <w:jc w:val="center"/>
      </w:pPr>
      <w:r>
        <w:rPr>
          <w:rFonts w:eastAsia="黑体"/>
          <w:b/>
          <w:sz w:val="18"/>
          <w:szCs w:val="18"/>
        </w:rPr>
        <w:t>图5 Abilene与GÉANT代表性预测窗口的真实值与预测值对比（随机种子42）</w:t>
      </w:r>
    </w:p>
    <w:p w14:paraId="0C8325AF" w14:textId="77777777" w:rsidR="00B14FA3" w:rsidRPr="00B14FA3" w:rsidRDefault="00B14FA3" w:rsidP="00B14FA3">
      <w:r>
        <w:rPr>
          <w:color w:val="000000"/>
          <w:szCs w:val="21"/>
        </w:rPr>
        <w:t>在Abilene代表窗口中，本文方法的MAE为0.0680，低于DLinear的0.1057，且对主要升降趋势的跟随更接近真实值；在GÉANT代表窗口中，两者MAE分别为0.2094和0.2087，差异很小。两个面板同时表明，线性预测曲线对局部突发峰值存在不同程度的平滑现象。因此，图5用于补充模型预测行为的直观展示，不替代表2、表3的多随机种子总体比较。</w:t>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在Abilene和GÉANT上的实验表明，样本级自适应多尺度加权可在较小参数增量下改善固定等权融合，并降低相对DLinear和LightTS的平均预测误差；代表性窗口曲线进一步表明，模型能够跟随主要变化趋势，但对局部突发峰值仍存在平滑偏差。GÉANT跨种子波动较大。后续将扩展更多网络、预测长度及拓扑约束，以进一步检验稳定性与泛化能力。</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ind w:left="420" w:hanging="420"/>
      </w:pPr>
      <w:r w:rsidRPr="00B14FA3">
        <w:rPr>
          <w:sz w:val="18"/>
        </w:rPr>
        <w:t>[2] QIN L, GU H, WEI W, et al. Spatio-temporal communication network traffic prediction method based on graph neural network[J]. Information Sciences, 2024, 679: 121003. DOI: 10.1016/j.ins.2024.121003.</w:t>
      </w:r>
    </w:p>
    <w:p w14:paraId="3FA328DF" w14:textId="77777777" w:rsidR="00B14FA3" w:rsidRPr="00B14FA3" w:rsidRDefault="00B14FA3" w:rsidP="00B14FA3">
      <w:pPr>
        <w:ind w:left="420" w:hanging="420"/>
      </w:pPr>
      <w:r w:rsidRPr="00B14FA3">
        <w:rPr>
          <w:sz w:val="18"/>
        </w:rPr>
        <w:t>[3]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ind w:left="420" w:hanging="420"/>
      </w:pPr>
      <w:r w:rsidRPr="00B14FA3">
        <w:rPr>
          <w:sz w:val="18"/>
        </w:rPr>
        <w:t>[4]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ind w:left="420" w:hanging="420"/>
      </w:pPr>
      <w:r>
        <w:rPr>
          <w:sz w:val="18"/>
        </w:rPr>
        <w:t>[5] WANG S, WU H, SHI X, et al. TimeMixer: decomposable multiscale mixing for time series forecasting[C]//International Conference on Learning Representations. 2024.</w:t>
      </w:r>
    </w:p>
    <w:p w14:paraId="32B65309" w14:textId="77777777" w:rsidR="00B14FA3" w:rsidRPr="00B14FA3" w:rsidRDefault="00B14FA3" w:rsidP="00B14FA3">
      <w:pPr>
        <w:ind w:left="420" w:hanging="420"/>
      </w:pPr>
      <w:r>
        <w:rPr>
          <w:sz w:val="18"/>
        </w:rPr>
        <w:t>[6]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ind w:left="420" w:hanging="420"/>
      </w:pPr>
      <w:r>
        <w:rPr>
          <w:sz w:val="18"/>
        </w:rPr>
        <w:t>[7]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ind w:left="420" w:hanging="420"/>
      </w:pPr>
      <w:r>
        <w:rPr>
          <w:sz w:val="18"/>
        </w:rPr>
        <w:t>[8]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ind w:left="420" w:hanging="420"/>
      </w:pPr>
      <w:r>
        <w:rPr>
          <w:sz w:val="18"/>
        </w:rPr>
        <w:t>[9] UHLIG S, QUOITIN B, LEPROPRE J, et al. Providing public intradomain traffic matrices to the research community[J]. ACM SIGCOMM Computer Communication Review, 2006, 36(1): 83-86. DOI: 10.1145/1111322.1111341.</w:t>
      </w:r>
    </w:p>
    <w:p w14:paraId="49ABA0AF" w14:textId="77777777" w:rsidR="00B14FA3" w:rsidRPr="00B14FA3" w:rsidRDefault="00B14FA3" w:rsidP="00B14FA3">
      <w:pPr>
        <w:ind w:left="420" w:hanging="420"/>
      </w:pPr>
      <w:r>
        <w:rPr>
          <w:sz w:val="18"/>
        </w:rPr>
        <w:t>[10]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ind w:left="420" w:hanging="420"/>
      </w:pPr>
      <w:r>
        <w:rPr>
          <w:sz w:val="18"/>
        </w:rPr>
        <w:t>[11]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bookmarkEnd w:id="1"/>
    <w:p w14:paraId="179C3C37" w14:textId="77777777" w:rsidR="00B14FA3" w:rsidRPr="00B14FA3" w:rsidRDefault="00B14FA3" w:rsidP="00B14FA3">
      <w:pPr>
        <w:ind w:left="420" w:hanging="420"/>
      </w:pPr>
    </w:p>
    <w:p w14:paraId="5FBEC971" w14:textId="77777777" w:rsidR="003E35DB" w:rsidRPr="00B14FA3" w:rsidRDefault="003E35DB" w:rsidP="00B14FA3"/>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