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9A33F" w14:textId="77777777" w:rsidR="00B14FA3" w:rsidRPr="00B14FA3" w:rsidRDefault="00B14FA3" w:rsidP="00B14FA3">
      <w:pPr>
        <w:spacing w:after="60"/>
        <w:ind w:firstLine="0"/>
        <w:jc w:val="center"/>
      </w:pPr>
      <w:bookmarkStart w:id="0" w:name="OLE_LINK1"/>
      <w:r w:rsidRPr="00B14FA3">
        <w:rPr>
          <w:rFonts w:ascii="Arial" w:eastAsia="黑体" w:hAnsi="Arial" w:cs="Arial"/>
          <w:b/>
          <w:color w:val="000000"/>
          <w:sz w:val="36"/>
          <w:szCs w:val="36"/>
        </w:rPr>
        <w:t>基于自适应多尺度加权的多变量网络流量预测方法</w:t>
      </w:r>
    </w:p>
    <w:bookmarkEnd w:id="0"/>
    <w:p w14:paraId="57D86241" w14:textId="77777777" w:rsidR="00B14FA3" w:rsidRPr="00B14FA3" w:rsidRDefault="00B14FA3" w:rsidP="00B14FA3">
      <w:pPr>
        <w:ind w:firstLine="0"/>
        <w:jc w:val="center"/>
      </w:pPr>
      <w:r w:rsidRPr="00B14FA3">
        <w:rPr>
          <w:rFonts w:ascii="楷体" w:eastAsia="楷体" w:hAnsi="楷体" w:cs="楷体"/>
          <w:color w:val="000000"/>
          <w:szCs w:val="21"/>
        </w:rPr>
        <w:t>[请填写作者姓名]</w:t>
      </w:r>
    </w:p>
    <w:p w14:paraId="233E4490" w14:textId="77777777" w:rsidR="00B14FA3" w:rsidRPr="00B14FA3" w:rsidRDefault="00B14FA3" w:rsidP="00B14FA3">
      <w:pPr>
        <w:ind w:firstLine="0"/>
        <w:jc w:val="center"/>
      </w:pPr>
      <w:r w:rsidRPr="00B14FA3">
        <w:rPr>
          <w:rFonts w:eastAsia="楷体"/>
          <w:color w:val="000000"/>
          <w:sz w:val="18"/>
          <w:szCs w:val="18"/>
        </w:rPr>
        <w:t>（</w:t>
      </w:r>
      <w:r w:rsidRPr="00B14FA3">
        <w:rPr>
          <w:rFonts w:eastAsia="楷体"/>
          <w:color w:val="000000"/>
          <w:sz w:val="18"/>
          <w:szCs w:val="18"/>
        </w:rPr>
        <w:t>[</w:t>
      </w:r>
      <w:r w:rsidRPr="00B14FA3">
        <w:rPr>
          <w:rFonts w:eastAsia="楷体"/>
          <w:color w:val="000000"/>
          <w:sz w:val="18"/>
          <w:szCs w:val="18"/>
        </w:rPr>
        <w:t>请填写工作单位</w:t>
      </w:r>
      <w:r w:rsidRPr="00B14FA3">
        <w:rPr>
          <w:rFonts w:eastAsia="楷体"/>
          <w:color w:val="000000"/>
          <w:sz w:val="18"/>
          <w:szCs w:val="18"/>
        </w:rPr>
        <w:t>] [</w:t>
      </w:r>
      <w:r w:rsidRPr="00B14FA3">
        <w:rPr>
          <w:rFonts w:eastAsia="楷体"/>
          <w:color w:val="000000"/>
          <w:sz w:val="18"/>
          <w:szCs w:val="18"/>
        </w:rPr>
        <w:t>请填写部门</w:t>
      </w:r>
      <w:r w:rsidRPr="00B14FA3">
        <w:rPr>
          <w:rFonts w:eastAsia="楷体"/>
          <w:color w:val="000000"/>
          <w:sz w:val="18"/>
          <w:szCs w:val="18"/>
        </w:rPr>
        <w:t>]</w:t>
      </w:r>
      <w:r w:rsidRPr="00B14FA3">
        <w:rPr>
          <w:rFonts w:eastAsia="楷体"/>
          <w:color w:val="000000"/>
          <w:sz w:val="18"/>
          <w:szCs w:val="18"/>
        </w:rPr>
        <w:t>，</w:t>
      </w:r>
      <w:r w:rsidRPr="00B14FA3">
        <w:rPr>
          <w:rFonts w:eastAsia="楷体"/>
          <w:color w:val="000000"/>
          <w:sz w:val="18"/>
          <w:szCs w:val="18"/>
        </w:rPr>
        <w:t>[</w:t>
      </w:r>
      <w:r w:rsidRPr="00B14FA3">
        <w:rPr>
          <w:rFonts w:eastAsia="楷体"/>
          <w:color w:val="000000"/>
          <w:sz w:val="18"/>
          <w:szCs w:val="18"/>
        </w:rPr>
        <w:t>省</w:t>
      </w:r>
      <w:r w:rsidRPr="00B14FA3">
        <w:rPr>
          <w:rFonts w:eastAsia="楷体"/>
          <w:color w:val="000000"/>
          <w:sz w:val="18"/>
          <w:szCs w:val="18"/>
        </w:rPr>
        <w:t xml:space="preserve"> </w:t>
      </w:r>
      <w:r w:rsidRPr="00B14FA3">
        <w:rPr>
          <w:rFonts w:eastAsia="楷体"/>
          <w:color w:val="000000"/>
          <w:sz w:val="18"/>
          <w:szCs w:val="18"/>
        </w:rPr>
        <w:t>市</w:t>
      </w:r>
      <w:r w:rsidRPr="00B14FA3">
        <w:rPr>
          <w:rFonts w:eastAsia="楷体"/>
          <w:color w:val="000000"/>
          <w:sz w:val="18"/>
          <w:szCs w:val="18"/>
        </w:rPr>
        <w:t xml:space="preserve"> </w:t>
      </w:r>
      <w:r w:rsidRPr="00B14FA3">
        <w:rPr>
          <w:rFonts w:eastAsia="楷体"/>
          <w:color w:val="000000"/>
          <w:sz w:val="18"/>
          <w:szCs w:val="18"/>
        </w:rPr>
        <w:t>邮编</w:t>
      </w:r>
      <w:r w:rsidRPr="00B14FA3">
        <w:rPr>
          <w:rFonts w:eastAsia="楷体"/>
          <w:color w:val="000000"/>
          <w:sz w:val="18"/>
          <w:szCs w:val="18"/>
        </w:rPr>
        <w:t>]</w:t>
      </w:r>
      <w:r w:rsidRPr="00B14FA3">
        <w:rPr>
          <w:rFonts w:eastAsia="楷体"/>
          <w:color w:val="000000"/>
          <w:sz w:val="18"/>
          <w:szCs w:val="18"/>
        </w:rPr>
        <w:t>）</w:t>
      </w:r>
    </w:p>
    <w:p w14:paraId="26D8FFD6" w14:textId="77777777" w:rsidR="00B14FA3" w:rsidRPr="00B14FA3" w:rsidRDefault="00B14FA3" w:rsidP="00B14FA3">
      <w:r>
        <w:rPr>
          <w:b/>
          <w:bCs/>
          <w:color w:val="000000"/>
        </w:rPr>
        <w:t>摘要：</w:t>
      </w:r>
      <w:r>
        <w:rPr>
          <w:color w:val="000000"/>
        </w:rPr>
        <w:t>为提高骨干网络源</w:t>
      </w:r>
      <w:r>
        <w:rPr>
          <w:color w:val="000000"/>
        </w:rPr>
        <w:t>—</w:t>
      </w:r>
      <w:r>
        <w:rPr>
          <w:color w:val="000000"/>
        </w:rPr>
        <w:t>目的节点对短期流量预测对不同时间尺度变化的适应能力，构建一种样本级自适应多尺度轻量预测方法。采用尺度</w:t>
      </w:r>
      <w:r>
        <w:rPr>
          <w:color w:val="000000"/>
        </w:rPr>
        <w:t>1</w:t>
      </w:r>
      <w:r>
        <w:rPr>
          <w:color w:val="000000"/>
        </w:rPr>
        <w:t>、</w:t>
      </w:r>
      <w:r>
        <w:rPr>
          <w:color w:val="000000"/>
        </w:rPr>
        <w:t>2</w:t>
      </w:r>
      <w:r>
        <w:rPr>
          <w:color w:val="000000"/>
        </w:rPr>
        <w:t>和</w:t>
      </w:r>
      <w:r>
        <w:rPr>
          <w:color w:val="000000"/>
        </w:rPr>
        <w:t>4</w:t>
      </w:r>
      <w:r>
        <w:rPr>
          <w:color w:val="000000"/>
        </w:rPr>
        <w:t>的非重叠平均池化生成多分辨率序列，由独立</w:t>
      </w:r>
      <w:r>
        <w:rPr>
          <w:color w:val="000000"/>
        </w:rPr>
        <w:t>DLinear</w:t>
      </w:r>
      <w:r>
        <w:rPr>
          <w:color w:val="000000"/>
        </w:rPr>
        <w:t>专家预测；提取窗口均值、标准差、末时刻均值和平均绝对一阶差分，经轻量路由网络生成</w:t>
      </w:r>
      <w:r>
        <w:rPr>
          <w:color w:val="000000"/>
        </w:rPr>
        <w:t>Softmax</w:t>
      </w:r>
      <w:r>
        <w:rPr>
          <w:color w:val="000000"/>
        </w:rPr>
        <w:t>权重，对各尺度结果动态融合。在</w:t>
      </w:r>
      <w:r>
        <w:rPr>
          <w:color w:val="000000"/>
        </w:rPr>
        <w:t>Abilene</w:t>
      </w:r>
      <w:r>
        <w:rPr>
          <w:color w:val="000000"/>
        </w:rPr>
        <w:t>和</w:t>
      </w:r>
      <w:r>
        <w:rPr>
          <w:color w:val="000000"/>
        </w:rPr>
        <w:t>GÉANT</w:t>
      </w:r>
      <w:r>
        <w:rPr>
          <w:color w:val="000000"/>
        </w:rPr>
        <w:t>数据集上，以</w:t>
      </w:r>
      <w:r>
        <w:rPr>
          <w:color w:val="000000"/>
        </w:rPr>
        <w:t>DLinear</w:t>
      </w:r>
      <w:r>
        <w:rPr>
          <w:color w:val="000000"/>
        </w:rPr>
        <w:t>、</w:t>
      </w:r>
      <w:r>
        <w:rPr>
          <w:color w:val="000000"/>
        </w:rPr>
        <w:t>LightTS</w:t>
      </w:r>
      <w:r>
        <w:rPr>
          <w:color w:val="000000"/>
        </w:rPr>
        <w:t>及固定等权多尺度模型为对比。共同</w:t>
      </w:r>
      <w:r>
        <w:rPr>
          <w:color w:val="000000"/>
        </w:rPr>
        <w:t>3</w:t>
      </w:r>
      <w:r>
        <w:rPr>
          <w:color w:val="000000"/>
        </w:rPr>
        <w:t>个随机种子下，所建方法的</w:t>
      </w:r>
      <w:r>
        <w:rPr>
          <w:color w:val="000000"/>
        </w:rPr>
        <w:t>MSE</w:t>
      </w:r>
      <w:r>
        <w:rPr>
          <w:color w:val="000000"/>
        </w:rPr>
        <w:t>较</w:t>
      </w:r>
      <w:r>
        <w:rPr>
          <w:color w:val="000000"/>
        </w:rPr>
        <w:t>DLinear</w:t>
      </w:r>
      <w:r>
        <w:rPr>
          <w:color w:val="000000"/>
        </w:rPr>
        <w:t>分别降低</w:t>
      </w:r>
      <w:r>
        <w:rPr>
          <w:color w:val="000000"/>
        </w:rPr>
        <w:t>4.06%</w:t>
      </w:r>
      <w:r>
        <w:rPr>
          <w:color w:val="000000"/>
        </w:rPr>
        <w:t>和</w:t>
      </w:r>
      <w:r>
        <w:rPr>
          <w:color w:val="000000"/>
        </w:rPr>
        <w:t>4.43%</w:t>
      </w:r>
      <w:r>
        <w:rPr>
          <w:color w:val="000000"/>
        </w:rPr>
        <w:t>，较</w:t>
      </w:r>
      <w:r>
        <w:rPr>
          <w:color w:val="000000"/>
        </w:rPr>
        <w:t>LightTS</w:t>
      </w:r>
      <w:r>
        <w:rPr>
          <w:color w:val="000000"/>
        </w:rPr>
        <w:t>分别降低</w:t>
      </w:r>
      <w:r>
        <w:rPr>
          <w:color w:val="000000"/>
        </w:rPr>
        <w:t>29.89%</w:t>
      </w:r>
      <w:r>
        <w:rPr>
          <w:color w:val="000000"/>
        </w:rPr>
        <w:t>和</w:t>
      </w:r>
      <w:r>
        <w:rPr>
          <w:color w:val="000000"/>
        </w:rPr>
        <w:t>46.83%</w:t>
      </w:r>
      <w:r>
        <w:rPr>
          <w:color w:val="000000"/>
        </w:rPr>
        <w:t>；</w:t>
      </w:r>
      <w:r>
        <w:rPr>
          <w:color w:val="000000"/>
        </w:rPr>
        <w:t>8</w:t>
      </w:r>
      <w:r>
        <w:rPr>
          <w:color w:val="000000"/>
        </w:rPr>
        <w:t>个随机种子的核心消融结果显示，相较固定等权融合，两数据集</w:t>
      </w:r>
      <w:r>
        <w:rPr>
          <w:color w:val="000000"/>
        </w:rPr>
        <w:t>MSE</w:t>
      </w:r>
      <w:r>
        <w:rPr>
          <w:color w:val="000000"/>
        </w:rPr>
        <w:t>分别降低</w:t>
      </w:r>
      <w:r>
        <w:rPr>
          <w:color w:val="000000"/>
        </w:rPr>
        <w:t>1.67%</w:t>
      </w:r>
      <w:r>
        <w:rPr>
          <w:color w:val="000000"/>
        </w:rPr>
        <w:t>和</w:t>
      </w:r>
      <w:r>
        <w:rPr>
          <w:color w:val="000000"/>
        </w:rPr>
        <w:t>4.68%</w:t>
      </w:r>
      <w:r>
        <w:rPr>
          <w:color w:val="000000"/>
        </w:rPr>
        <w:t>，其中</w:t>
      </w:r>
      <w:r>
        <w:rPr>
          <w:color w:val="000000"/>
        </w:rPr>
        <w:t>GÉANT</w:t>
      </w:r>
      <w:r>
        <w:rPr>
          <w:color w:val="000000"/>
        </w:rPr>
        <w:t>跨种子波动更大。结果表明，样本级动态尺度加权能够以较小参数增量利用不同时间分辨率的互补信息，但跨数据集稳定性仍需提升。</w:t>
      </w:r>
    </w:p>
    <w:p w14:paraId="6DDB7F12" w14:textId="77777777" w:rsidR="00B14FA3" w:rsidRPr="00B14FA3" w:rsidRDefault="00B14FA3" w:rsidP="00B14FA3">
      <w:pPr>
        <w:ind w:firstLine="0"/>
      </w:pPr>
      <w:r>
        <w:rPr>
          <w:rFonts w:eastAsia="黑体"/>
          <w:b/>
        </w:rPr>
        <w:t>关键词：</w:t>
      </w:r>
      <w:r>
        <w:t>网络流量预测；多变量时间序列；多尺度学习；自适应加权；</w:t>
      </w:r>
      <w:r>
        <w:t>DLinear</w:t>
      </w:r>
    </w:p>
    <w:p w14:paraId="18A6B693" w14:textId="77777777" w:rsidR="00B14FA3" w:rsidRPr="00B14FA3" w:rsidRDefault="00B14FA3" w:rsidP="00B14FA3">
      <w:pPr>
        <w:ind w:firstLine="0"/>
      </w:pPr>
      <w:r w:rsidRPr="00B14FA3">
        <w:rPr>
          <w:rFonts w:eastAsia="黑体"/>
          <w:b/>
        </w:rPr>
        <w:t>中图分类号：</w:t>
      </w:r>
      <w:r w:rsidRPr="00B14FA3">
        <w:t>TP393</w:t>
      </w:r>
      <w:r w:rsidRPr="00B14FA3">
        <w:t xml:space="preserve">　　</w:t>
      </w:r>
      <w:r w:rsidRPr="00B14FA3">
        <w:rPr>
          <w:rFonts w:eastAsia="黑体"/>
          <w:b/>
        </w:rPr>
        <w:t>文献标志码：</w:t>
      </w:r>
      <w:r w:rsidRPr="00B14FA3">
        <w:t>A</w:t>
      </w:r>
    </w:p>
    <w:p w14:paraId="4EB6E192" w14:textId="77777777" w:rsidR="00B14FA3" w:rsidRPr="00B14FA3" w:rsidRDefault="00B14FA3" w:rsidP="00B14FA3">
      <w:pPr>
        <w:spacing w:after="60"/>
        <w:ind w:firstLine="0"/>
        <w:jc w:val="center"/>
      </w:pPr>
      <w:r w:rsidRPr="00B14FA3">
        <w:rPr>
          <w:rFonts w:eastAsia="黑体"/>
          <w:b/>
          <w:sz w:val="28"/>
        </w:rPr>
        <w:t>A Multivariate Network Traffic Forecasting Method Based on Adaptive Multiscale Weighting</w:t>
      </w:r>
    </w:p>
    <w:p w14:paraId="58F87268" w14:textId="77777777" w:rsidR="00B14FA3" w:rsidRPr="00B14FA3" w:rsidRDefault="00B14FA3" w:rsidP="00B14FA3">
      <w:pPr>
        <w:ind w:firstLine="0"/>
        <w:jc w:val="center"/>
      </w:pPr>
      <w:r w:rsidRPr="00B14FA3">
        <w:t>[Author Name]</w:t>
      </w:r>
    </w:p>
    <w:p w14:paraId="4E49EDDA" w14:textId="77777777" w:rsidR="00B14FA3" w:rsidRPr="00B14FA3" w:rsidRDefault="00B14FA3" w:rsidP="00B14FA3">
      <w:pPr>
        <w:jc w:val="center"/>
      </w:pPr>
      <w:r w:rsidRPr="00B14FA3">
        <w:t>([Affiliation] [Department], [City] [Postcode], China; Corresponding author: [Name], E-mail: [E-mail])</w:t>
      </w:r>
    </w:p>
    <w:p w14:paraId="05369785" w14:textId="77777777" w:rsidR="00B14FA3" w:rsidRPr="00B14FA3" w:rsidRDefault="00B14FA3" w:rsidP="00B14FA3">
      <w:r>
        <w:rPr>
          <w:rFonts w:eastAsia="Times New Roman"/>
          <w:b/>
          <w:bCs/>
          <w:color w:val="000000"/>
        </w:rPr>
        <w:t xml:space="preserve">Abstract: </w:t>
      </w:r>
      <w:r>
        <w:rPr>
          <w:rFonts w:eastAsia="Times New Roman"/>
          <w:color w:val="000000"/>
        </w:rPr>
        <w:t>A lightweight forecasting method based on sample-wise adaptive multiscale weighting was developed to improve the adaptability of short-term backbone origin-destination (OD) traffic forecasting to variations at different temporal scales. Non-overlapping average pooling at scales 1, 2, and 4 was used to construct multiresolution sequences, which were processed by independent DLinear experts. The window mean, standard deviation, mean at the latest time step, and mean absolute first difference were extracted and fed into a lightweight routing network to generate Softmax weights for dynamic fusion of the scale-wise forecasts. Experiments were conducted on the Abilene and GÉANT datasets, with DLinear, LightTS, and a fixed equal-weight multiscale model as baselines. Under three common random seeds, the proposed method reduced MSE by 4.06% and 4.43% relative to DLinear, and by 29.89% and 46.83% relative to LightTS on Abilene and GÉANT, respectively. In the eight-seed core ablation, MSE was reduced by 1.67% and 4.68% compared with fixed equal weighting, while GÉANT exhibited larger cross-seed variability. These results indicate that sample-wise adaptive scale weighting can exploit complementary temporal-resolution information with only a small parameter increase, although robustness across datasets remains to be improved.</w:t>
      </w:r>
    </w:p>
    <w:p w14:paraId="1A5F7C32" w14:textId="77777777" w:rsidR="00B14FA3" w:rsidRPr="00B14FA3" w:rsidRDefault="00B14FA3" w:rsidP="00B14FA3">
      <w:pPr>
        <w:ind w:firstLine="0"/>
      </w:pPr>
      <w:r>
        <w:rPr>
          <w:rFonts w:eastAsia="Times New Roman"/>
          <w:b/>
          <w:bCs/>
          <w:color w:val="000000"/>
        </w:rPr>
        <w:t xml:space="preserve">Key words: </w:t>
      </w:r>
      <w:r>
        <w:rPr>
          <w:rFonts w:eastAsia="Times New Roman"/>
          <w:color w:val="000000"/>
        </w:rPr>
        <w:t>network traffic forecasting; multivariate time series; multiscale learning; adaptive weighting; DLinear</w:t>
      </w:r>
    </w:p>
    <w:p w14:paraId="5C2C4A73" w14:textId="77777777" w:rsidR="00B14FA3" w:rsidRPr="00B14FA3" w:rsidRDefault="00B14FA3" w:rsidP="00B14FA3">
      <w:pPr>
        <w:rPr>
          <w:color w:val="000000"/>
        </w:rPr>
      </w:pPr>
    </w:p>
    <w:p w14:paraId="2A311823" w14:textId="77777777" w:rsidR="00B14FA3" w:rsidRPr="00B14FA3" w:rsidRDefault="00B14FA3" w:rsidP="00B14FA3">
      <w:pPr>
        <w:rPr>
          <w:color w:val="000000"/>
        </w:rPr>
      </w:pPr>
      <w:r>
        <w:rPr>
          <w:color w:val="000000"/>
          <w:szCs w:val="21"/>
        </w:rPr>
        <w:t>随着云计算、视频业务和数据中心互联等网络应用持续发展，骨干网络业务需求呈现明显的时变性、突发性和多时间尺度特征。源</w:t>
      </w:r>
      <w:r>
        <w:rPr>
          <w:color w:val="000000"/>
          <w:szCs w:val="21"/>
        </w:rPr>
        <w:t>—</w:t>
      </w:r>
      <w:r>
        <w:rPr>
          <w:color w:val="000000"/>
          <w:szCs w:val="21"/>
        </w:rPr>
        <w:t>目的节点对（</w:t>
      </w:r>
      <w:r>
        <w:rPr>
          <w:color w:val="000000"/>
          <w:szCs w:val="21"/>
        </w:rPr>
        <w:t>origin-destination</w:t>
      </w:r>
      <w:r>
        <w:rPr>
          <w:color w:val="000000"/>
          <w:szCs w:val="21"/>
        </w:rPr>
        <w:t>，</w:t>
      </w:r>
      <w:r>
        <w:rPr>
          <w:color w:val="000000"/>
          <w:szCs w:val="21"/>
        </w:rPr>
        <w:t>OD</w:t>
      </w:r>
      <w:r>
        <w:rPr>
          <w:color w:val="000000"/>
          <w:szCs w:val="21"/>
        </w:rPr>
        <w:t>）流量能够刻画网络入口与出口之间的业务需求，其短期预测结果可为容量规划、拥塞预警、流量工程和资源调度提供依据。网络流量预测方法已由传统统计模型逐步发展到机器学习和深度学习方法</w:t>
      </w:r>
      <w:r>
        <w:rPr>
          <w:color w:val="000000"/>
          <w:szCs w:val="21"/>
        </w:rPr>
        <w:t>[1]</w:t>
      </w:r>
      <w:r>
        <w:rPr>
          <w:color w:val="000000"/>
          <w:szCs w:val="21"/>
        </w:rPr>
        <w:t>。针对通信网络中的时空相关性，</w:t>
      </w:r>
      <w:r>
        <w:rPr>
          <w:color w:val="000000"/>
          <w:szCs w:val="21"/>
        </w:rPr>
        <w:t>Qin</w:t>
      </w:r>
      <w:r>
        <w:rPr>
          <w:color w:val="000000"/>
          <w:szCs w:val="21"/>
        </w:rPr>
        <w:t>等</w:t>
      </w:r>
      <w:r>
        <w:rPr>
          <w:color w:val="000000"/>
          <w:szCs w:val="21"/>
        </w:rPr>
        <w:t>[2]</w:t>
      </w:r>
      <w:r>
        <w:rPr>
          <w:color w:val="000000"/>
          <w:szCs w:val="21"/>
        </w:rPr>
        <w:t>采用图神经网络建模空间依赖关系；韦烜等</w:t>
      </w:r>
      <w:r>
        <w:rPr>
          <w:color w:val="000000"/>
          <w:szCs w:val="21"/>
        </w:rPr>
        <w:t>[10]</w:t>
      </w:r>
      <w:r>
        <w:rPr>
          <w:color w:val="000000"/>
          <w:szCs w:val="21"/>
        </w:rPr>
        <w:t>对大型互联网协议（</w:t>
      </w:r>
      <w:r>
        <w:rPr>
          <w:color w:val="000000"/>
          <w:szCs w:val="21"/>
        </w:rPr>
        <w:t>Internet Protocol</w:t>
      </w:r>
      <w:r>
        <w:rPr>
          <w:color w:val="000000"/>
          <w:szCs w:val="21"/>
        </w:rPr>
        <w:t>，</w:t>
      </w:r>
      <w:r>
        <w:rPr>
          <w:color w:val="000000"/>
          <w:szCs w:val="21"/>
        </w:rPr>
        <w:t>IP</w:t>
      </w:r>
      <w:r>
        <w:rPr>
          <w:color w:val="000000"/>
          <w:szCs w:val="21"/>
        </w:rPr>
        <w:t>）网络流量矩阵的分析</w:t>
      </w:r>
      <w:r>
        <w:rPr>
          <w:color w:val="000000"/>
          <w:szCs w:val="21"/>
        </w:rPr>
        <w:lastRenderedPageBreak/>
        <w:t>预测进行了研究。这类方法拓展了流量预测的建模能力，但对于仅利用历史</w:t>
      </w:r>
      <w:r>
        <w:rPr>
          <w:color w:val="000000"/>
          <w:szCs w:val="21"/>
        </w:rPr>
        <w:t>OD</w:t>
      </w:r>
      <w:r>
        <w:rPr>
          <w:color w:val="000000"/>
          <w:szCs w:val="21"/>
        </w:rPr>
        <w:t>流量、强调结构简洁和参数规模受控的应用场景，仍有必要探索更轻量的时序建模方式。</w:t>
      </w:r>
    </w:p>
    <w:p w14:paraId="3877C1F2" w14:textId="77777777" w:rsidR="00B14FA3" w:rsidRPr="00B14FA3" w:rsidRDefault="00B14FA3" w:rsidP="00B14FA3">
      <w:pPr>
        <w:rPr>
          <w:color w:val="000000"/>
        </w:rPr>
      </w:pPr>
      <w:r>
        <w:rPr>
          <w:color w:val="000000"/>
          <w:szCs w:val="21"/>
        </w:rPr>
        <w:t>网络流量在不同时间尺度上包含互补信息：细粒度序列保留局部变化，较粗粒度序列有助于突出相对平滑的趋势。</w:t>
      </w:r>
      <w:r>
        <w:rPr>
          <w:color w:val="000000"/>
          <w:szCs w:val="21"/>
        </w:rPr>
        <w:t>Zhou</w:t>
      </w:r>
      <w:r>
        <w:rPr>
          <w:color w:val="000000"/>
          <w:szCs w:val="21"/>
        </w:rPr>
        <w:t>等</w:t>
      </w:r>
      <w:r>
        <w:rPr>
          <w:color w:val="000000"/>
          <w:szCs w:val="21"/>
        </w:rPr>
        <w:t>[3]</w:t>
      </w:r>
      <w:r>
        <w:rPr>
          <w:color w:val="000000"/>
          <w:szCs w:val="21"/>
        </w:rPr>
        <w:t>利用多尺度回声状态网络提取不同时间尺度的流量特征；</w:t>
      </w:r>
      <w:r>
        <w:rPr>
          <w:color w:val="000000"/>
          <w:szCs w:val="21"/>
        </w:rPr>
        <w:t>TimeMixer</w:t>
      </w:r>
      <w:r>
        <w:rPr>
          <w:color w:val="000000"/>
          <w:szCs w:val="21"/>
        </w:rPr>
        <w:t>通过可分解多尺度混合实现不同分辨率信息交互</w:t>
      </w:r>
      <w:r>
        <w:rPr>
          <w:color w:val="000000"/>
          <w:szCs w:val="21"/>
        </w:rPr>
        <w:t>[5]</w:t>
      </w:r>
      <w:r>
        <w:rPr>
          <w:color w:val="000000"/>
          <w:szCs w:val="21"/>
        </w:rPr>
        <w:t>；</w:t>
      </w:r>
      <w:r>
        <w:rPr>
          <w:color w:val="000000"/>
          <w:szCs w:val="21"/>
        </w:rPr>
        <w:t>CycleLLH</w:t>
      </w:r>
      <w:r>
        <w:rPr>
          <w:color w:val="000000"/>
          <w:szCs w:val="21"/>
        </w:rPr>
        <w:t>从周期性整合角度改进网络流量预测</w:t>
      </w:r>
      <w:r>
        <w:rPr>
          <w:color w:val="000000"/>
          <w:szCs w:val="21"/>
        </w:rPr>
        <w:t>[11]</w:t>
      </w:r>
      <w:r>
        <w:rPr>
          <w:color w:val="000000"/>
          <w:szCs w:val="21"/>
        </w:rPr>
        <w:t>。在轻量时间序列预测方面，</w:t>
      </w:r>
      <w:r>
        <w:rPr>
          <w:color w:val="000000"/>
          <w:szCs w:val="21"/>
        </w:rPr>
        <w:t>DLinear</w:t>
      </w:r>
      <w:r>
        <w:rPr>
          <w:color w:val="000000"/>
          <w:szCs w:val="21"/>
        </w:rPr>
        <w:t>通过趋势项与余项分解配合线性映射实现多步预测</w:t>
      </w:r>
      <w:r>
        <w:rPr>
          <w:color w:val="000000"/>
          <w:szCs w:val="21"/>
        </w:rPr>
        <w:t>[4]</w:t>
      </w:r>
      <w:r>
        <w:rPr>
          <w:color w:val="000000"/>
          <w:szCs w:val="21"/>
        </w:rPr>
        <w:t>；</w:t>
      </w:r>
      <w:r>
        <w:rPr>
          <w:color w:val="000000"/>
          <w:szCs w:val="21"/>
        </w:rPr>
        <w:t>LightTS</w:t>
      </w:r>
      <w:r>
        <w:rPr>
          <w:color w:val="000000"/>
          <w:szCs w:val="21"/>
        </w:rPr>
        <w:t>采用连续采样和间隔采样配合多层感知机结构，以较低计算开销建模多变量时间序列</w:t>
      </w:r>
      <w:r>
        <w:rPr>
          <w:color w:val="000000"/>
          <w:szCs w:val="21"/>
        </w:rPr>
        <w:t>[6]</w:t>
      </w:r>
      <w:r>
        <w:rPr>
          <w:color w:val="000000"/>
          <w:szCs w:val="21"/>
        </w:rPr>
        <w:t>。这些研究说明，多尺度表征与简洁预测结构均具有应用潜力，也为在参数规模受控条件下进一步研究尺度融合提供了基础。</w:t>
      </w:r>
    </w:p>
    <w:p w14:paraId="65582279" w14:textId="77777777" w:rsidR="00B14FA3" w:rsidRPr="00B14FA3" w:rsidRDefault="00B14FA3" w:rsidP="00B14FA3">
      <w:pPr>
        <w:rPr>
          <w:color w:val="000000"/>
        </w:rPr>
      </w:pPr>
      <w:r>
        <w:rPr>
          <w:color w:val="000000"/>
          <w:szCs w:val="21"/>
        </w:rPr>
        <w:t>现有研究分别从拓扑关联、多尺度表征和轻量序列建模等角度提升预测能力，但在不显式依赖网络拓扑的历史</w:t>
      </w:r>
      <w:r>
        <w:rPr>
          <w:color w:val="000000"/>
          <w:szCs w:val="21"/>
        </w:rPr>
        <w:t>OD</w:t>
      </w:r>
      <w:r>
        <w:rPr>
          <w:color w:val="000000"/>
          <w:szCs w:val="21"/>
        </w:rPr>
        <w:t>序列预测场景中，如何根据当前输入窗口的状态动态确定不同时间尺度的重要性，仍值得进一步研究。为此，本文构建基于</w:t>
      </w:r>
      <w:r>
        <w:rPr>
          <w:color w:val="000000"/>
          <w:szCs w:val="21"/>
        </w:rPr>
        <w:t>DLinear</w:t>
      </w:r>
      <w:r>
        <w:rPr>
          <w:color w:val="000000"/>
          <w:szCs w:val="21"/>
        </w:rPr>
        <w:t>尺度专家的样本级自适应多尺度预测方法：采用尺度</w:t>
      </w:r>
      <w:r>
        <w:rPr>
          <w:color w:val="000000"/>
          <w:szCs w:val="21"/>
        </w:rPr>
        <w:t>1</w:t>
      </w:r>
      <w:r>
        <w:rPr>
          <w:color w:val="000000"/>
          <w:szCs w:val="21"/>
        </w:rPr>
        <w:t>、</w:t>
      </w:r>
      <w:r>
        <w:rPr>
          <w:color w:val="000000"/>
          <w:szCs w:val="21"/>
        </w:rPr>
        <w:t>2</w:t>
      </w:r>
      <w:r>
        <w:rPr>
          <w:color w:val="000000"/>
          <w:szCs w:val="21"/>
        </w:rPr>
        <w:t>和</w:t>
      </w:r>
      <w:r>
        <w:rPr>
          <w:color w:val="000000"/>
          <w:szCs w:val="21"/>
        </w:rPr>
        <w:t>4</w:t>
      </w:r>
      <w:r>
        <w:rPr>
          <w:color w:val="000000"/>
          <w:szCs w:val="21"/>
        </w:rPr>
        <w:t>构造多分辨率序列，由独立尺度专家生成候选预测，再从输入窗口提取均值、标准差、末时刻均值和平均绝对一阶差分，通过轻量路由网络生成</w:t>
      </w:r>
      <w:r>
        <w:rPr>
          <w:color w:val="000000"/>
          <w:szCs w:val="21"/>
        </w:rPr>
        <w:t>Softmax</w:t>
      </w:r>
      <w:r>
        <w:rPr>
          <w:color w:val="000000"/>
          <w:szCs w:val="21"/>
        </w:rPr>
        <w:t>权重，实现样本级动态融合。实验在</w:t>
      </w:r>
      <w:r>
        <w:rPr>
          <w:color w:val="000000"/>
          <w:szCs w:val="21"/>
        </w:rPr>
        <w:t>Abilene</w:t>
      </w:r>
      <w:r>
        <w:rPr>
          <w:color w:val="000000"/>
          <w:szCs w:val="21"/>
        </w:rPr>
        <w:t>和</w:t>
      </w:r>
      <w:r>
        <w:rPr>
          <w:color w:val="000000"/>
          <w:szCs w:val="21"/>
        </w:rPr>
        <w:t>GÉANT</w:t>
      </w:r>
      <w:r>
        <w:rPr>
          <w:color w:val="000000"/>
          <w:szCs w:val="21"/>
        </w:rPr>
        <w:t>两个骨干网数据集上开展，并引入</w:t>
      </w:r>
      <w:r>
        <w:rPr>
          <w:color w:val="000000"/>
          <w:szCs w:val="21"/>
        </w:rPr>
        <w:t>DLinear</w:t>
      </w:r>
      <w:r>
        <w:rPr>
          <w:color w:val="000000"/>
          <w:szCs w:val="21"/>
        </w:rPr>
        <w:t>、</w:t>
      </w:r>
      <w:r>
        <w:rPr>
          <w:color w:val="000000"/>
          <w:szCs w:val="21"/>
        </w:rPr>
        <w:t>LightTS</w:t>
      </w:r>
      <w:r>
        <w:rPr>
          <w:color w:val="000000"/>
          <w:szCs w:val="21"/>
        </w:rPr>
        <w:t>和固定等权多尺度模型进行比较；同时使用</w:t>
      </w:r>
      <w:r>
        <w:rPr>
          <w:color w:val="000000"/>
          <w:szCs w:val="21"/>
        </w:rPr>
        <w:t>8</w:t>
      </w:r>
      <w:r>
        <w:rPr>
          <w:color w:val="000000"/>
          <w:szCs w:val="21"/>
        </w:rPr>
        <w:t>个随机种子分析核心机制的稳定性，以检验性能改善是否来自样本级自适应尺度加权。</w:t>
      </w:r>
    </w:p>
    <w:p w14:paraId="012F79B1" w14:textId="77777777" w:rsidR="00B14FA3" w:rsidRPr="00B14FA3" w:rsidRDefault="00B14FA3" w:rsidP="00B14FA3"/>
    <w:p w14:paraId="155C26D6" w14:textId="77777777" w:rsidR="00B14FA3" w:rsidRPr="00B14FA3" w:rsidRDefault="00B14FA3" w:rsidP="00B14FA3">
      <w:pPr>
        <w:keepNext/>
        <w:widowControl/>
        <w:spacing w:before="120" w:after="40"/>
        <w:ind w:firstLine="0"/>
        <w:jc w:val="left"/>
        <w:rPr>
          <w:rFonts w:eastAsia="黑体"/>
          <w:b/>
          <w:kern w:val="0"/>
          <w:sz w:val="28"/>
          <w:szCs w:val="20"/>
        </w:rPr>
      </w:pPr>
      <w:r w:rsidRPr="00B14FA3">
        <w:rPr>
          <w:rFonts w:ascii="Arial" w:eastAsia="黑体" w:hAnsi="Arial"/>
          <w:b/>
          <w:color w:val="000000"/>
          <w:kern w:val="0"/>
          <w:sz w:val="24"/>
          <w:szCs w:val="20"/>
        </w:rPr>
        <w:t xml:space="preserve">1 </w:t>
      </w:r>
      <w:r w:rsidRPr="00B14FA3">
        <w:rPr>
          <w:rFonts w:ascii="Arial" w:eastAsia="黑体" w:hAnsi="Arial"/>
          <w:b/>
          <w:color w:val="000000"/>
          <w:kern w:val="0"/>
          <w:sz w:val="24"/>
          <w:szCs w:val="20"/>
        </w:rPr>
        <w:t>自适应多尺度网络流量预测方法</w:t>
      </w:r>
    </w:p>
    <w:p w14:paraId="0B4AA7AE" w14:textId="77777777" w:rsidR="00B14FA3" w:rsidRPr="00B14FA3" w:rsidRDefault="00B14FA3" w:rsidP="00B14FA3">
      <w:r>
        <w:rPr>
          <w:color w:val="000000"/>
          <w:szCs w:val="21"/>
        </w:rPr>
        <w:t>本文方法由数据预处理、多尺度序列构造、</w:t>
      </w:r>
      <w:r>
        <w:rPr>
          <w:color w:val="000000"/>
          <w:szCs w:val="21"/>
        </w:rPr>
        <w:t>DLinear</w:t>
      </w:r>
      <w:r>
        <w:rPr>
          <w:color w:val="000000"/>
          <w:szCs w:val="21"/>
        </w:rPr>
        <w:t>尺度专家、样本级统计路由和自适应预测融合五部分组成。输入窗口经尺度</w:t>
      </w:r>
      <w:r>
        <w:rPr>
          <w:color w:val="000000"/>
          <w:szCs w:val="21"/>
        </w:rPr>
        <w:t>1</w:t>
      </w:r>
      <w:r>
        <w:rPr>
          <w:color w:val="000000"/>
          <w:szCs w:val="21"/>
        </w:rPr>
        <w:t>、</w:t>
      </w:r>
      <w:r>
        <w:rPr>
          <w:color w:val="000000"/>
          <w:szCs w:val="21"/>
        </w:rPr>
        <w:t>2</w:t>
      </w:r>
      <w:r>
        <w:rPr>
          <w:color w:val="000000"/>
          <w:szCs w:val="21"/>
        </w:rPr>
        <w:t>和</w:t>
      </w:r>
      <w:r>
        <w:rPr>
          <w:color w:val="000000"/>
          <w:szCs w:val="21"/>
        </w:rPr>
        <w:t>4</w:t>
      </w:r>
      <w:r>
        <w:rPr>
          <w:color w:val="000000"/>
          <w:szCs w:val="21"/>
        </w:rPr>
        <w:t>构造不同时间分辨率，由三个独立</w:t>
      </w:r>
      <w:r>
        <w:rPr>
          <w:color w:val="000000"/>
          <w:szCs w:val="21"/>
        </w:rPr>
        <w:t>DLinear</w:t>
      </w:r>
      <w:r>
        <w:rPr>
          <w:color w:val="000000"/>
          <w:szCs w:val="21"/>
        </w:rPr>
        <w:t>专家分别预测；路由器依据原始窗口统计状态生成</w:t>
      </w:r>
      <w:r>
        <w:rPr>
          <w:color w:val="000000"/>
          <w:szCs w:val="21"/>
        </w:rPr>
        <w:t>Softmax</w:t>
      </w:r>
      <w:r>
        <w:rPr>
          <w:color w:val="000000"/>
          <w:szCs w:val="21"/>
        </w:rPr>
        <w:t>尺度权重，对专家输出进行样本级动态加权。整体流程如图</w:t>
      </w:r>
      <w:r>
        <w:rPr>
          <w:color w:val="000000"/>
          <w:szCs w:val="21"/>
        </w:rPr>
        <w:t>1</w:t>
      </w:r>
      <w:r>
        <w:rPr>
          <w:color w:val="000000"/>
          <w:szCs w:val="21"/>
        </w:rPr>
        <w:t>所示。</w:t>
      </w:r>
    </w:p>
    <w:p w14:paraId="4A0F6536" w14:textId="77777777" w:rsidR="00B14FA3" w:rsidRPr="00B14FA3" w:rsidRDefault="00B14FA3" w:rsidP="00B14FA3">
      <w:pPr>
        <w:keepNext/>
        <w:spacing w:before="60"/>
        <w:ind w:firstLine="0"/>
        <w:jc w:val="center"/>
      </w:pPr>
      <w:r w:rsidRPr="00B14FA3">
        <w:rPr>
          <w:noProof/>
        </w:rPr>
        <w:drawing>
          <wp:inline distT="0" distB="0" distL="0" distR="0" wp14:anchorId="0702D61E" wp14:editId="2DE249BE">
            <wp:extent cx="5829300" cy="3276600"/>
            <wp:effectExtent l="0" t="0" r="0" b="0"/>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829300" cy="3276600"/>
                    </a:xfrm>
                    <a:prstGeom prst="rect">
                      <a:avLst/>
                    </a:prstGeom>
                    <a:noFill/>
                    <a:ln>
                      <a:noFill/>
                    </a:ln>
                  </pic:spPr>
                </pic:pic>
              </a:graphicData>
            </a:graphic>
          </wp:inline>
        </w:drawing>
      </w:r>
    </w:p>
    <w:p w14:paraId="4BAAA424" w14:textId="77777777" w:rsidR="00B14FA3" w:rsidRPr="00B14FA3" w:rsidRDefault="00B14FA3" w:rsidP="00B14FA3">
      <w:pPr>
        <w:keepLines/>
        <w:spacing w:before="60" w:after="80"/>
        <w:ind w:firstLine="0"/>
        <w:jc w:val="center"/>
      </w:pPr>
      <w:r>
        <w:rPr>
          <w:rFonts w:eastAsia="黑体"/>
          <w:b/>
          <w:sz w:val="18"/>
          <w:szCs w:val="18"/>
        </w:rPr>
        <w:t>图</w:t>
      </w:r>
      <w:r>
        <w:rPr>
          <w:rFonts w:eastAsia="黑体"/>
          <w:b/>
          <w:sz w:val="18"/>
          <w:szCs w:val="18"/>
        </w:rPr>
        <w:t xml:space="preserve">1 </w:t>
      </w:r>
      <w:r>
        <w:rPr>
          <w:rFonts w:eastAsia="黑体"/>
          <w:b/>
          <w:sz w:val="18"/>
          <w:szCs w:val="18"/>
        </w:rPr>
        <w:t>自适应多尺度网络流量预测方法框架</w:t>
      </w:r>
    </w:p>
    <w:p w14:paraId="6C67E13A" w14:textId="77777777" w:rsidR="00B14FA3" w:rsidRPr="00B14FA3" w:rsidRDefault="00B14FA3" w:rsidP="00B14FA3">
      <w:pPr>
        <w:keepNext/>
        <w:keepLines/>
        <w:spacing w:before="80" w:after="20" w:line="415" w:lineRule="auto"/>
        <w:ind w:firstLine="0"/>
        <w:jc w:val="left"/>
        <w:outlineLvl w:val="1"/>
        <w:rPr>
          <w:rFonts w:eastAsia="黑体"/>
          <w:b/>
          <w:bCs/>
          <w:szCs w:val="32"/>
        </w:rPr>
      </w:pPr>
      <w:r w:rsidRPr="00B14FA3">
        <w:rPr>
          <w:rFonts w:ascii="Arial" w:eastAsia="黑体" w:hAnsi="Arial"/>
          <w:b/>
          <w:bCs/>
          <w:color w:val="000000"/>
          <w:szCs w:val="21"/>
        </w:rPr>
        <w:t xml:space="preserve">1.1 </w:t>
      </w:r>
      <w:r w:rsidRPr="00B14FA3">
        <w:rPr>
          <w:rFonts w:eastAsia="黑体"/>
          <w:b/>
          <w:bCs/>
          <w:szCs w:val="21"/>
        </w:rPr>
        <w:t>问题定义与数据预处理</w:t>
      </w:r>
    </w:p>
    <w:p w14:paraId="68385A57" w14:textId="77777777" w:rsidR="00B14FA3" w:rsidRPr="00B14FA3" w:rsidRDefault="00B14FA3" w:rsidP="00B14FA3">
      <w:pPr>
        <w:spacing w:line="360" w:lineRule="auto"/>
      </w:pPr>
      <w:r>
        <w:rPr>
          <w:szCs w:val="21"/>
        </w:rPr>
        <w:t>设预处理后的多变量流量序列为</w:t>
      </w:r>
      <w:r>
        <w:rPr>
          <w:szCs w:val="21"/>
        </w:rPr>
        <w:t xml:space="preserve"> </w:t>
      </w:r>
      <w:r>
        <w:rPr>
          <w:i/>
          <w:iCs/>
          <w:szCs w:val="21"/>
        </w:rPr>
        <w:t>x</w:t>
      </w:r>
      <w:r>
        <w:rPr>
          <w:i/>
          <w:iCs/>
          <w:szCs w:val="21"/>
          <w:vertAlign w:val="subscript"/>
        </w:rPr>
        <w:t>t</w:t>
      </w:r>
      <w:r>
        <w:rPr>
          <w:szCs w:val="21"/>
        </w:rPr>
        <w:t>∈</w:t>
      </w:r>
      <w:r>
        <w:rPr>
          <w:i/>
          <w:iCs/>
          <w:szCs w:val="21"/>
        </w:rPr>
        <w:t>R</w:t>
      </w:r>
      <w:r>
        <w:rPr>
          <w:i/>
          <w:iCs/>
          <w:szCs w:val="21"/>
          <w:vertAlign w:val="superscript"/>
        </w:rPr>
        <w:t>C</w:t>
      </w:r>
      <w:r>
        <w:rPr>
          <w:szCs w:val="21"/>
        </w:rPr>
        <w:t>，其中</w:t>
      </w:r>
      <w:r>
        <w:rPr>
          <w:i/>
          <w:iCs/>
          <w:szCs w:val="21"/>
        </w:rPr>
        <w:t>t</w:t>
      </w:r>
      <w:r>
        <w:rPr>
          <w:szCs w:val="21"/>
        </w:rPr>
        <w:t>为时间索引，</w:t>
      </w:r>
      <w:r>
        <w:rPr>
          <w:i/>
          <w:iCs/>
          <w:szCs w:val="21"/>
        </w:rPr>
        <w:t>C</w:t>
      </w:r>
      <w:r>
        <w:rPr>
          <w:szCs w:val="21"/>
        </w:rPr>
        <w:t>为</w:t>
      </w:r>
      <w:r>
        <w:rPr>
          <w:szCs w:val="21"/>
        </w:rPr>
        <w:t>OD</w:t>
      </w:r>
      <w:r>
        <w:rPr>
          <w:szCs w:val="21"/>
        </w:rPr>
        <w:t>变量数。第</w:t>
      </w:r>
      <w:r>
        <w:rPr>
          <w:i/>
          <w:iCs/>
          <w:szCs w:val="21"/>
        </w:rPr>
        <w:t>n</w:t>
      </w:r>
      <w:r>
        <w:rPr>
          <w:szCs w:val="21"/>
        </w:rPr>
        <w:t>个样本的输入和目标分别为</w:t>
      </w:r>
    </w:p>
    <w:p w14:paraId="54EEA794"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lastRenderedPageBreak/>
        <w:tab/>
      </w:r>
      <m:oMath>
        <m:sSub>
          <m:sSubPr>
            <m:ctrlPr>
              <w:rPr>
                <w:rFonts w:ascii="Cambria Math" w:eastAsia="Cambria Math" w:hAnsi="Cambria Math"/>
                <w:i/>
              </w:rPr>
            </m:ctrlPr>
          </m:sSubPr>
          <m:e>
            <m:r>
              <m:rPr>
                <m:sty m:val="bi"/>
              </m:rPr>
              <w:rPr>
                <w:rFonts w:ascii="Cambria Math" w:eastAsia="Cambria Math" w:hAnsi="Cambria Math"/>
                <w:kern w:val="0"/>
                <w:szCs w:val="20"/>
              </w:rPr>
              <m:t>X</m:t>
            </m:r>
          </m:e>
          <m:sub>
            <m:r>
              <w:rPr>
                <w:rFonts w:ascii="Cambria Math" w:eastAsia="Cambria Math" w:hAnsi="Cambria Math"/>
                <w:kern w:val="0"/>
                <w:szCs w:val="20"/>
              </w:rPr>
              <m:t>n</m:t>
            </m:r>
          </m:sub>
        </m:sSub>
        <m:r>
          <w:rPr>
            <w:rFonts w:ascii="Cambria Math" w:eastAsia="Cambria Math" w:hAnsi="Cambria Math"/>
            <w:kern w:val="0"/>
            <w:szCs w:val="20"/>
          </w:rPr>
          <m:t>=</m:t>
        </m:r>
        <m:d>
          <m:dPr>
            <m:begChr m:val="["/>
            <m:endChr m:val="]"/>
            <m:ctrlPr>
              <w:rPr>
                <w:rFonts w:ascii="Cambria Math" w:eastAsia="Cambria Math" w:hAnsi="Cambria Math"/>
                <w:i/>
              </w:rPr>
            </m:ctrlPr>
          </m:dPr>
          <m:e>
            <m:sSub>
              <m:sSubPr>
                <m:ctrlPr>
                  <w:rPr>
                    <w:rFonts w:ascii="Cambria Math" w:eastAsia="Cambria Math" w:hAnsi="Cambria Math"/>
                    <w:i/>
                  </w:rPr>
                </m:ctrlPr>
              </m:sSubPr>
              <m:e>
                <m:r>
                  <w:rPr>
                    <w:rFonts w:ascii="Cambria Math" w:eastAsia="Cambria Math" w:hAnsi="Cambria Math"/>
                    <w:kern w:val="0"/>
                    <w:szCs w:val="20"/>
                  </w:rPr>
                  <m:t>x</m:t>
                </m:r>
              </m:e>
              <m:sub>
                <m:r>
                  <w:rPr>
                    <w:rFonts w:ascii="Cambria Math" w:eastAsia="Cambria Math" w:hAnsi="Cambria Math"/>
                    <w:kern w:val="0"/>
                    <w:szCs w:val="20"/>
                  </w:rPr>
                  <m:t>n</m:t>
                </m:r>
              </m:sub>
            </m:sSub>
            <m:r>
              <w:rPr>
                <w:rFonts w:ascii="Cambria Math" w:eastAsia="Cambria Math" w:hAnsi="Cambria Math"/>
                <w:kern w:val="0"/>
                <w:szCs w:val="20"/>
              </w:rPr>
              <m:t>,…,</m:t>
            </m:r>
            <m:sSub>
              <m:sSubPr>
                <m:ctrlPr>
                  <w:rPr>
                    <w:rFonts w:ascii="Cambria Math" w:eastAsia="Cambria Math" w:hAnsi="Cambria Math"/>
                    <w:i/>
                  </w:rPr>
                </m:ctrlPr>
              </m:sSubPr>
              <m:e>
                <m: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n+L-1</m:t>
                    </m:r>
                  </m:e>
                </m:d>
              </m:sub>
            </m:sSub>
          </m:e>
        </m:d>
        <m:r>
          <w:rPr>
            <w:rFonts w:ascii="Cambria Math" w:eastAsia="Cambria Math" w:hAnsi="Cambria Math"/>
            <w:kern w:val="0"/>
            <w:szCs w:val="20"/>
          </w:rPr>
          <m:t>∈</m:t>
        </m:r>
        <m:sSup>
          <m:sSupPr>
            <m:ctrlPr>
              <w:rPr>
                <w:rFonts w:ascii="Cambria Math" w:eastAsia="Cambria Math" w:hAnsi="Cambria Math"/>
                <w:i/>
              </w:rPr>
            </m:ctrlPr>
          </m:sSupPr>
          <m:e>
            <m:r>
              <m:rPr>
                <m:sty m:val="bi"/>
              </m:rPr>
              <w:rPr>
                <w:rFonts w:ascii="Cambria Math" w:eastAsia="Cambria Math" w:hAnsi="Cambria Math"/>
                <w:kern w:val="0"/>
                <w:szCs w:val="20"/>
              </w:rPr>
              <m:t>R</m:t>
            </m:r>
          </m:e>
          <m:sup>
            <m:d>
              <m:dPr>
                <m:begChr m:val="{"/>
                <m:endChr m:val="}"/>
                <m:ctrlPr>
                  <w:rPr>
                    <w:rFonts w:ascii="Cambria Math" w:eastAsia="Cambria Math" w:hAnsi="Cambria Math"/>
                    <w:i/>
                  </w:rPr>
                </m:ctrlPr>
              </m:dPr>
              <m:e>
                <m:r>
                  <w:rPr>
                    <w:rFonts w:ascii="Cambria Math" w:eastAsia="Cambria Math" w:hAnsi="Cambria Math"/>
                    <w:kern w:val="0"/>
                    <w:szCs w:val="20"/>
                  </w:rPr>
                  <m:t>L×C</m:t>
                </m:r>
              </m:e>
            </m:d>
          </m:sup>
        </m:sSup>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(1)</w:t>
      </w:r>
    </w:p>
    <w:p w14:paraId="629FA8CA"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m:rPr>
                <m:sty m:val="bi"/>
              </m:rPr>
              <w:rPr>
                <w:rFonts w:ascii="Cambria Math" w:eastAsia="Cambria Math" w:hAnsi="Cambria Math"/>
                <w:kern w:val="0"/>
                <w:szCs w:val="20"/>
              </w:rPr>
              <m:t>Y</m:t>
            </m:r>
          </m:e>
          <m:sub>
            <m:r>
              <w:rPr>
                <w:rFonts w:ascii="Cambria Math" w:eastAsia="Cambria Math" w:hAnsi="Cambria Math"/>
                <w:kern w:val="0"/>
                <w:szCs w:val="20"/>
              </w:rPr>
              <m:t>n</m:t>
            </m:r>
          </m:sub>
        </m:sSub>
        <m:r>
          <w:rPr>
            <w:rFonts w:ascii="Cambria Math" w:eastAsia="Cambria Math" w:hAnsi="Cambria Math"/>
            <w:kern w:val="0"/>
            <w:szCs w:val="20"/>
          </w:rPr>
          <m:t>=</m:t>
        </m:r>
        <m:d>
          <m:dPr>
            <m:begChr m:val="["/>
            <m:endChr m:val="]"/>
            <m:ctrlPr>
              <w:rPr>
                <w:rFonts w:ascii="Cambria Math" w:eastAsia="Cambria Math" w:hAnsi="Cambria Math"/>
                <w:i/>
              </w:rPr>
            </m:ctrlPr>
          </m:dPr>
          <m:e>
            <m:sSub>
              <m:sSubPr>
                <m:ctrlPr>
                  <w:rPr>
                    <w:rFonts w:ascii="Cambria Math" w:eastAsia="Cambria Math" w:hAnsi="Cambria Math"/>
                    <w:i/>
                  </w:rPr>
                </m:ctrlPr>
              </m:sSubPr>
              <m:e>
                <m: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n+L</m:t>
                    </m:r>
                  </m:e>
                </m:d>
              </m:sub>
            </m:sSub>
            <m:r>
              <w:rPr>
                <w:rFonts w:ascii="Cambria Math" w:eastAsia="Cambria Math" w:hAnsi="Cambria Math"/>
                <w:kern w:val="0"/>
                <w:szCs w:val="20"/>
              </w:rPr>
              <m:t>,…,</m:t>
            </m:r>
            <m:sSub>
              <m:sSubPr>
                <m:ctrlPr>
                  <w:rPr>
                    <w:rFonts w:ascii="Cambria Math" w:eastAsia="Cambria Math" w:hAnsi="Cambria Math"/>
                    <w:i/>
                  </w:rPr>
                </m:ctrlPr>
              </m:sSubPr>
              <m:e>
                <m: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n+L+H-1</m:t>
                    </m:r>
                  </m:e>
                </m:d>
              </m:sub>
            </m:sSub>
          </m:e>
        </m:d>
        <m:r>
          <w:rPr>
            <w:rFonts w:ascii="Cambria Math" w:eastAsia="Cambria Math" w:hAnsi="Cambria Math"/>
            <w:kern w:val="0"/>
            <w:szCs w:val="20"/>
          </w:rPr>
          <m:t>∈</m:t>
        </m:r>
        <m:sSup>
          <m:sSupPr>
            <m:ctrlPr>
              <w:rPr>
                <w:rFonts w:ascii="Cambria Math" w:eastAsia="Cambria Math" w:hAnsi="Cambria Math"/>
                <w:i/>
              </w:rPr>
            </m:ctrlPr>
          </m:sSupPr>
          <m:e>
            <m:r>
              <m:rPr>
                <m:sty m:val="bi"/>
              </m:rPr>
              <w:rPr>
                <w:rFonts w:ascii="Cambria Math" w:eastAsia="Cambria Math" w:hAnsi="Cambria Math"/>
                <w:kern w:val="0"/>
                <w:szCs w:val="20"/>
              </w:rPr>
              <m:t>R</m:t>
            </m:r>
          </m:e>
          <m:sup>
            <m:d>
              <m:dPr>
                <m:begChr m:val="{"/>
                <m:endChr m:val="}"/>
                <m:ctrlPr>
                  <w:rPr>
                    <w:rFonts w:ascii="Cambria Math" w:eastAsia="Cambria Math" w:hAnsi="Cambria Math"/>
                    <w:i/>
                  </w:rPr>
                </m:ctrlPr>
              </m:dPr>
              <m:e>
                <m:r>
                  <w:rPr>
                    <w:rFonts w:ascii="Cambria Math" w:eastAsia="Cambria Math" w:hAnsi="Cambria Math"/>
                    <w:kern w:val="0"/>
                    <w:szCs w:val="20"/>
                  </w:rPr>
                  <m:t>H×C</m:t>
                </m:r>
              </m:e>
            </m:d>
          </m:sup>
        </m:sSup>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(2)</w:t>
      </w:r>
    </w:p>
    <w:p w14:paraId="221B26ED" w14:textId="77777777" w:rsidR="00B14FA3" w:rsidRPr="00B14FA3" w:rsidRDefault="00B14FA3" w:rsidP="00B14FA3">
      <w:pPr>
        <w:spacing w:line="360" w:lineRule="auto"/>
      </w:pPr>
      <w:r>
        <w:rPr>
          <w:szCs w:val="21"/>
        </w:rPr>
        <w:t>本文取输入长度</w:t>
      </w:r>
      <w:r>
        <w:rPr>
          <w:i/>
          <w:iCs/>
          <w:szCs w:val="21"/>
        </w:rPr>
        <w:t>L</w:t>
      </w:r>
      <w:r>
        <w:rPr>
          <w:szCs w:val="21"/>
        </w:rPr>
        <w:t>=96</w:t>
      </w:r>
      <w:r>
        <w:rPr>
          <w:szCs w:val="21"/>
        </w:rPr>
        <w:t>、预测长度</w:t>
      </w:r>
      <w:r>
        <w:rPr>
          <w:i/>
          <w:iCs/>
          <w:szCs w:val="21"/>
        </w:rPr>
        <w:t>H</w:t>
      </w:r>
      <w:r>
        <w:rPr>
          <w:szCs w:val="21"/>
        </w:rPr>
        <w:t>=24</w:t>
      </w:r>
      <w:r>
        <w:rPr>
          <w:szCs w:val="21"/>
        </w:rPr>
        <w:t>、变量数</w:t>
      </w:r>
      <w:r>
        <w:rPr>
          <w:i/>
          <w:iCs/>
          <w:szCs w:val="21"/>
        </w:rPr>
        <w:t>C</w:t>
      </w:r>
      <w:r>
        <w:rPr>
          <w:szCs w:val="21"/>
        </w:rPr>
        <w:t>随具体数据集的有效</w:t>
      </w:r>
      <w:r>
        <w:rPr>
          <w:szCs w:val="21"/>
        </w:rPr>
        <w:t>OD</w:t>
      </w:r>
      <w:r>
        <w:rPr>
          <w:szCs w:val="21"/>
        </w:rPr>
        <w:t>维度确定，学习映射</w:t>
      </w:r>
      <w:r>
        <w:rPr>
          <w:b/>
          <w:bCs/>
          <w:i/>
          <w:iCs/>
          <w:szCs w:val="21"/>
        </w:rPr>
        <w:t>Ŷ</w:t>
      </w:r>
      <w:r>
        <w:rPr>
          <w:i/>
          <w:iCs/>
          <w:szCs w:val="21"/>
          <w:vertAlign w:val="subscript"/>
        </w:rPr>
        <w:t>n</w:t>
      </w:r>
      <w:r>
        <w:rPr>
          <w:szCs w:val="21"/>
        </w:rPr>
        <w:t>=</w:t>
      </w:r>
      <w:r>
        <w:rPr>
          <w:i/>
          <w:iCs/>
          <w:szCs w:val="21"/>
        </w:rPr>
        <w:t>f</w:t>
      </w:r>
      <w:r>
        <w:rPr>
          <w:i/>
          <w:iCs/>
          <w:szCs w:val="21"/>
          <w:vertAlign w:val="subscript"/>
        </w:rPr>
        <w:t>θ</w:t>
      </w:r>
      <w:r>
        <w:rPr>
          <w:szCs w:val="21"/>
        </w:rPr>
        <w:t>(</w:t>
      </w:r>
      <w:r>
        <w:rPr>
          <w:b/>
          <w:bCs/>
          <w:i/>
          <w:iCs/>
          <w:szCs w:val="21"/>
        </w:rPr>
        <w:t>X</w:t>
      </w:r>
      <w:r>
        <w:rPr>
          <w:i/>
          <w:iCs/>
          <w:szCs w:val="21"/>
          <w:vertAlign w:val="subscript"/>
        </w:rPr>
        <w:t>n</w:t>
      </w:r>
      <w:r>
        <w:rPr>
          <w:szCs w:val="21"/>
        </w:rPr>
        <w:t>)</w:t>
      </w:r>
      <w:r>
        <w:rPr>
          <w:szCs w:val="21"/>
        </w:rPr>
        <w:t>。原始非负流量</w:t>
      </w:r>
      <w:r>
        <w:rPr>
          <w:i/>
          <w:iCs/>
          <w:szCs w:val="21"/>
        </w:rPr>
        <w:t>v</w:t>
      </w:r>
      <w:r>
        <w:rPr>
          <w:i/>
          <w:iCs/>
          <w:szCs w:val="21"/>
          <w:vertAlign w:val="subscript"/>
        </w:rPr>
        <w:t>t,c</w:t>
      </w:r>
      <w:r>
        <w:rPr>
          <w:szCs w:val="21"/>
        </w:rPr>
        <w:t>先作对数变换</w:t>
      </w:r>
    </w:p>
    <w:p w14:paraId="06B107E6"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w:rPr>
                <w:rFonts w:ascii="Cambria Math" w:eastAsia="Cambria Math" w:hAnsi="Cambria Math"/>
                <w:kern w:val="0"/>
                <w:szCs w:val="20"/>
              </w:rPr>
              <m:t>u</m:t>
            </m:r>
          </m:e>
          <m:sub>
            <m:d>
              <m:dPr>
                <m:begChr m:val="{"/>
                <m:endChr m:val="}"/>
                <m:ctrlPr>
                  <w:rPr>
                    <w:rFonts w:ascii="Cambria Math" w:eastAsia="Cambria Math" w:hAnsi="Cambria Math"/>
                    <w:i/>
                  </w:rPr>
                </m:ctrlPr>
              </m:dPr>
              <m:e>
                <m:r>
                  <w:rPr>
                    <w:rFonts w:ascii="Cambria Math" w:eastAsia="Cambria Math" w:hAnsi="Cambria Math"/>
                    <w:kern w:val="0"/>
                    <w:szCs w:val="20"/>
                  </w:rPr>
                  <m:t>t,c</m:t>
                </m:r>
              </m:e>
            </m:d>
          </m:sub>
        </m:sSub>
        <m:r>
          <w:rPr>
            <w:rFonts w:ascii="Cambria Math" w:eastAsia="Cambria Math" w:hAnsi="Cambria Math"/>
            <w:kern w:val="0"/>
            <w:szCs w:val="20"/>
          </w:rPr>
          <m:t>=</m:t>
        </m:r>
        <m:func>
          <m:funcPr>
            <m:ctrlPr>
              <w:rPr>
                <w:rFonts w:ascii="Cambria Math" w:eastAsia="Cambria Math" w:hAnsi="Cambria Math"/>
              </w:rPr>
            </m:ctrlPr>
          </m:funcPr>
          <m:fName>
            <m:r>
              <m:rPr>
                <m:sty m:val="p"/>
              </m:rPr>
              <w:rPr>
                <w:rFonts w:ascii="Cambria Math" w:eastAsia="Cambria Math" w:hAnsi="Cambria Math"/>
                <w:kern w:val="0"/>
                <w:szCs w:val="20"/>
              </w:rPr>
              <m:t>log</m:t>
            </m:r>
            <m:ctrlPr>
              <w:rPr>
                <w:rFonts w:ascii="Cambria Math" w:eastAsia="Cambria Math" w:hAnsi="Cambria Math"/>
                <w:i/>
              </w:rPr>
            </m:ctrlPr>
          </m:fName>
          <m:e>
            <m:d>
              <m:dPr>
                <m:ctrlPr>
                  <w:rPr>
                    <w:rFonts w:ascii="Cambria Math" w:eastAsia="Cambria Math" w:hAnsi="Cambria Math"/>
                    <w:i/>
                  </w:rPr>
                </m:ctrlPr>
              </m:dPr>
              <m:e>
                <m:r>
                  <w:rPr>
                    <w:rFonts w:ascii="Cambria Math" w:eastAsia="Cambria Math" w:hAnsi="Cambria Math"/>
                    <w:kern w:val="0"/>
                    <w:szCs w:val="20"/>
                  </w:rPr>
                  <m:t>1+</m:t>
                </m:r>
                <m:sSub>
                  <m:sSubPr>
                    <m:ctrlPr>
                      <w:rPr>
                        <w:rFonts w:ascii="Cambria Math" w:eastAsia="Cambria Math" w:hAnsi="Cambria Math"/>
                        <w:i/>
                      </w:rPr>
                    </m:ctrlPr>
                  </m:sSubPr>
                  <m:e>
                    <m:r>
                      <w:rPr>
                        <w:rFonts w:ascii="Cambria Math" w:eastAsia="Cambria Math" w:hAnsi="Cambria Math"/>
                        <w:kern w:val="0"/>
                        <w:szCs w:val="20"/>
                      </w:rPr>
                      <m:t>v</m:t>
                    </m:r>
                  </m:e>
                  <m:sub>
                    <m:d>
                      <m:dPr>
                        <m:begChr m:val="{"/>
                        <m:endChr m:val="}"/>
                        <m:ctrlPr>
                          <w:rPr>
                            <w:rFonts w:ascii="Cambria Math" w:eastAsia="Cambria Math" w:hAnsi="Cambria Math"/>
                            <w:i/>
                          </w:rPr>
                        </m:ctrlPr>
                      </m:dPr>
                      <m:e>
                        <m:r>
                          <w:rPr>
                            <w:rFonts w:ascii="Cambria Math" w:eastAsia="Cambria Math" w:hAnsi="Cambria Math"/>
                            <w:kern w:val="0"/>
                            <w:szCs w:val="20"/>
                          </w:rPr>
                          <m:t>t,c</m:t>
                        </m:r>
                      </m:e>
                    </m:d>
                  </m:sub>
                </m:sSub>
              </m:e>
            </m:d>
          </m:e>
        </m:func>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(3)</w:t>
      </w:r>
    </w:p>
    <w:p w14:paraId="5088C610" w14:textId="77777777" w:rsidR="00B14FA3" w:rsidRPr="00B14FA3" w:rsidRDefault="00B14FA3" w:rsidP="00B14FA3">
      <w:pPr>
        <w:spacing w:line="360" w:lineRule="auto"/>
      </w:pPr>
      <w:r w:rsidRPr="00B14FA3">
        <w:rPr>
          <w:szCs w:val="21"/>
        </w:rPr>
        <w:t>再按变量进行标准化：</w:t>
      </w:r>
    </w:p>
    <w:p w14:paraId="2A2346E7"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t,c</m:t>
                </m:r>
              </m:e>
            </m:d>
          </m:sub>
        </m:sSub>
        <m:r>
          <w:rPr>
            <w:rFonts w:ascii="Cambria Math" w:eastAsia="Cambria Math" w:hAnsi="Cambria Math"/>
            <w:kern w:val="0"/>
            <w:szCs w:val="20"/>
          </w:rPr>
          <m:t>=</m:t>
        </m:r>
        <m:f>
          <m:fPr>
            <m:ctrlPr>
              <w:rPr>
                <w:rFonts w:ascii="Cambria Math" w:eastAsia="Cambria Math" w:hAnsi="Cambria Math"/>
                <w:i/>
              </w:rPr>
            </m:ctrlPr>
          </m:fPr>
          <m:num>
            <m:sSub>
              <m:sSubPr>
                <m:ctrlPr>
                  <w:rPr>
                    <w:rFonts w:ascii="Cambria Math" w:eastAsia="Cambria Math" w:hAnsi="Cambria Math"/>
                    <w:i/>
                  </w:rPr>
                </m:ctrlPr>
              </m:sSubPr>
              <m:e>
                <m:r>
                  <w:rPr>
                    <w:rFonts w:ascii="Cambria Math" w:eastAsia="Cambria Math" w:hAnsi="Cambria Math"/>
                    <w:kern w:val="0"/>
                    <w:szCs w:val="20"/>
                  </w:rPr>
                  <m:t>u</m:t>
                </m:r>
              </m:e>
              <m:sub>
                <m:d>
                  <m:dPr>
                    <m:begChr m:val="{"/>
                    <m:endChr m:val="}"/>
                    <m:ctrlPr>
                      <w:rPr>
                        <w:rFonts w:ascii="Cambria Math" w:eastAsia="Cambria Math" w:hAnsi="Cambria Math"/>
                        <w:i/>
                      </w:rPr>
                    </m:ctrlPr>
                  </m:dPr>
                  <m:e>
                    <m:r>
                      <w:rPr>
                        <w:rFonts w:ascii="Cambria Math" w:eastAsia="Cambria Math" w:hAnsi="Cambria Math"/>
                        <w:kern w:val="0"/>
                        <w:szCs w:val="20"/>
                      </w:rPr>
                      <m:t>t,c</m:t>
                    </m:r>
                  </m:e>
                </m:d>
              </m:sub>
            </m:sSub>
            <m:r>
              <w:rPr>
                <w:rFonts w:ascii="Cambria Math" w:eastAsia="Cambria Math" w:hAnsi="Cambria Math"/>
                <w:kern w:val="0"/>
                <w:szCs w:val="20"/>
              </w:rPr>
              <m:t>-</m:t>
            </m:r>
            <m:sSubSup>
              <m:sSubSupPr>
                <m:ctrlPr>
                  <w:rPr>
                    <w:rFonts w:ascii="Cambria Math" w:eastAsia="Cambria Math" w:hAnsi="Cambria Math"/>
                    <w:i/>
                  </w:rPr>
                </m:ctrlPr>
              </m:sSubSupPr>
              <m:e>
                <m:r>
                  <w:rPr>
                    <w:rFonts w:ascii="Cambria Math" w:eastAsia="Cambria Math" w:hAnsi="Cambria Math"/>
                    <w:kern w:val="0"/>
                    <w:szCs w:val="20"/>
                  </w:rPr>
                  <m:t>μ</m:t>
                </m:r>
              </m:e>
              <m:sub>
                <m:r>
                  <w:rPr>
                    <w:rFonts w:ascii="Cambria Math" w:eastAsia="Cambria Math" w:hAnsi="Cambria Math"/>
                    <w:kern w:val="0"/>
                    <w:szCs w:val="20"/>
                  </w:rPr>
                  <m:t>c</m:t>
                </m:r>
              </m:sub>
              <m:sup>
                <m:d>
                  <m:dPr>
                    <m:begChr m:val="{"/>
                    <m:endChr m:val="}"/>
                    <m:ctrlPr>
                      <w:rPr>
                        <w:rFonts w:ascii="Cambria Math" w:eastAsia="Cambria Math" w:hAnsi="Cambria Math"/>
                        <w:i/>
                      </w:rPr>
                    </m:ctrlPr>
                  </m:dPr>
                  <m:e>
                    <m:r>
                      <m:rPr>
                        <m:sty m:val="p"/>
                      </m:rPr>
                      <w:rPr>
                        <w:rFonts w:ascii="Cambria Math" w:eastAsia="Cambria Math" w:hAnsi="Cambria Math"/>
                        <w:kern w:val="0"/>
                        <w:szCs w:val="20"/>
                      </w:rPr>
                      <m:t>tr</m:t>
                    </m:r>
                  </m:e>
                </m:d>
              </m:sup>
            </m:sSubSup>
          </m:num>
          <m:den>
            <m:sSubSup>
              <m:sSubSupPr>
                <m:ctrlPr>
                  <w:rPr>
                    <w:rFonts w:ascii="Cambria Math" w:eastAsia="Cambria Math" w:hAnsi="Cambria Math"/>
                    <w:i/>
                  </w:rPr>
                </m:ctrlPr>
              </m:sSubSupPr>
              <m:e>
                <m:r>
                  <w:rPr>
                    <w:rFonts w:ascii="Cambria Math" w:eastAsia="Cambria Math" w:hAnsi="Cambria Math"/>
                    <w:kern w:val="0"/>
                    <w:szCs w:val="20"/>
                  </w:rPr>
                  <m:t>σ</m:t>
                </m:r>
              </m:e>
              <m:sub>
                <m:r>
                  <w:rPr>
                    <w:rFonts w:ascii="Cambria Math" w:eastAsia="Cambria Math" w:hAnsi="Cambria Math"/>
                    <w:kern w:val="0"/>
                    <w:szCs w:val="20"/>
                  </w:rPr>
                  <m:t>c</m:t>
                </m:r>
              </m:sub>
              <m:sup>
                <m:d>
                  <m:dPr>
                    <m:begChr m:val="{"/>
                    <m:endChr m:val="}"/>
                    <m:ctrlPr>
                      <w:rPr>
                        <w:rFonts w:ascii="Cambria Math" w:eastAsia="Cambria Math" w:hAnsi="Cambria Math"/>
                        <w:i/>
                      </w:rPr>
                    </m:ctrlPr>
                  </m:dPr>
                  <m:e>
                    <m:r>
                      <m:rPr>
                        <m:sty m:val="p"/>
                      </m:rPr>
                      <w:rPr>
                        <w:rFonts w:ascii="Cambria Math" w:eastAsia="Cambria Math" w:hAnsi="Cambria Math"/>
                        <w:kern w:val="0"/>
                        <w:szCs w:val="20"/>
                      </w:rPr>
                      <m:t>tr</m:t>
                    </m:r>
                  </m:e>
                </m:d>
              </m:sup>
            </m:sSubSup>
          </m:den>
        </m:f>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(4)</w:t>
      </w:r>
    </w:p>
    <w:p w14:paraId="2663E5C2" w14:textId="77777777" w:rsidR="00B14FA3" w:rsidRPr="00B14FA3" w:rsidRDefault="00B14FA3" w:rsidP="00B14FA3">
      <w:pPr>
        <w:spacing w:line="360" w:lineRule="auto"/>
      </w:pPr>
      <w:r>
        <w:rPr>
          <w:szCs w:val="21"/>
        </w:rPr>
        <w:t>其中</w:t>
      </w:r>
      <w:r>
        <w:rPr>
          <w:i/>
          <w:iCs/>
          <w:szCs w:val="21"/>
        </w:rPr>
        <w:t>μ</w:t>
      </w:r>
      <w:r>
        <w:rPr>
          <w:i/>
          <w:iCs/>
          <w:szCs w:val="21"/>
          <w:vertAlign w:val="subscript"/>
        </w:rPr>
        <w:t>c</w:t>
      </w:r>
      <w:r>
        <w:rPr>
          <w:szCs w:val="21"/>
          <w:vertAlign w:val="superscript"/>
        </w:rPr>
        <w:t>tr</w:t>
      </w:r>
      <w:r>
        <w:rPr>
          <w:szCs w:val="21"/>
        </w:rPr>
        <w:t>和</w:t>
      </w:r>
      <w:r>
        <w:rPr>
          <w:i/>
          <w:iCs/>
          <w:szCs w:val="21"/>
        </w:rPr>
        <w:t>σ</w:t>
      </w:r>
      <w:r>
        <w:rPr>
          <w:i/>
          <w:iCs/>
          <w:szCs w:val="21"/>
          <w:vertAlign w:val="subscript"/>
        </w:rPr>
        <w:t>c</w:t>
      </w:r>
      <w:r>
        <w:rPr>
          <w:szCs w:val="21"/>
          <w:vertAlign w:val="superscript"/>
        </w:rPr>
        <w:t>tr</w:t>
      </w:r>
      <w:r>
        <w:rPr>
          <w:szCs w:val="21"/>
        </w:rPr>
        <w:t>只由训练集计算，再用于验证集和测试集，避免未来信息进入训练过程。时间点按</w:t>
      </w:r>
      <w:r>
        <w:rPr>
          <w:szCs w:val="21"/>
        </w:rPr>
        <w:t>6∶2∶2</w:t>
      </w:r>
      <w:r>
        <w:rPr>
          <w:szCs w:val="21"/>
        </w:rPr>
        <w:t>顺序划分，不随机打乱原始时间位置；每个集合内部独立构造滑动窗口，避免跨边界使用数据。</w:t>
      </w:r>
    </w:p>
    <w:p w14:paraId="61721526" w14:textId="77777777" w:rsidR="00B14FA3" w:rsidRPr="00B14FA3" w:rsidRDefault="00B14FA3" w:rsidP="00B14FA3">
      <w:pPr>
        <w:keepNext/>
        <w:keepLines/>
        <w:spacing w:before="80" w:after="20" w:line="415" w:lineRule="auto"/>
        <w:ind w:firstLine="0"/>
        <w:jc w:val="left"/>
        <w:outlineLvl w:val="1"/>
        <w:rPr>
          <w:rFonts w:eastAsia="黑体"/>
          <w:b/>
          <w:bCs/>
          <w:szCs w:val="32"/>
        </w:rPr>
      </w:pPr>
      <w:r w:rsidRPr="00B14FA3">
        <w:rPr>
          <w:rFonts w:eastAsia="黑体"/>
          <w:b/>
          <w:bCs/>
          <w:szCs w:val="21"/>
        </w:rPr>
        <w:t xml:space="preserve">1.2 </w:t>
      </w:r>
      <w:r w:rsidRPr="00B14FA3">
        <w:rPr>
          <w:rFonts w:eastAsia="黑体"/>
          <w:b/>
          <w:bCs/>
          <w:szCs w:val="21"/>
        </w:rPr>
        <w:t>多尺度序列构造</w:t>
      </w:r>
    </w:p>
    <w:p w14:paraId="70A22C31" w14:textId="77777777" w:rsidR="00B14FA3" w:rsidRPr="00B14FA3" w:rsidRDefault="00B14FA3" w:rsidP="00B14FA3">
      <w:pPr>
        <w:spacing w:line="360" w:lineRule="auto"/>
      </w:pPr>
      <w:r w:rsidRPr="00B14FA3">
        <w:rPr>
          <w:szCs w:val="21"/>
        </w:rPr>
        <w:t>设尺度集合</w:t>
      </w:r>
      <w:r w:rsidRPr="00B14FA3">
        <w:rPr>
          <w:szCs w:val="21"/>
        </w:rPr>
        <w:t>S={1,2,4}</w:t>
      </w:r>
      <w:r w:rsidRPr="00B14FA3">
        <w:rPr>
          <w:szCs w:val="21"/>
        </w:rPr>
        <w:t>。对尺度</w:t>
      </w:r>
      <w:r w:rsidRPr="00B14FA3">
        <w:rPr>
          <w:szCs w:val="21"/>
        </w:rPr>
        <w:t>s</w:t>
      </w:r>
      <w:r w:rsidRPr="00B14FA3">
        <w:rPr>
          <w:szCs w:val="21"/>
        </w:rPr>
        <w:t>，使用窗口大小和步长均为</w:t>
      </w:r>
      <w:r w:rsidRPr="00B14FA3">
        <w:rPr>
          <w:szCs w:val="21"/>
        </w:rPr>
        <w:t>s</w:t>
      </w:r>
      <w:r w:rsidRPr="00B14FA3">
        <w:rPr>
          <w:szCs w:val="21"/>
        </w:rPr>
        <w:t>的非重叠平均池化：</w:t>
      </w:r>
    </w:p>
    <w:p w14:paraId="18864864"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Sup>
          <m:sSubSupPr>
            <m:ctrlPr>
              <w:rPr>
                <w:rFonts w:ascii="Cambria Math" w:eastAsia="Cambria Math" w:hAnsi="Cambria Math"/>
                <w:i/>
              </w:rPr>
            </m:ctrlPr>
          </m:sSubSup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n,t</m:t>
                </m:r>
              </m:e>
            </m:d>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s</m:t>
                </m:r>
              </m:den>
            </m:f>
          </m:e>
        </m:d>
        <m:sSub>
          <m:sSubPr>
            <m:ctrlPr>
              <w:rPr>
                <w:rFonts w:ascii="Cambria Math" w:eastAsia="Cambria Math" w:hAnsi="Cambria Math"/>
                <w:i/>
              </w:rPr>
            </m:ctrlPr>
          </m:sSubPr>
          <m:e>
            <m:r>
              <w:rPr>
                <w:rFonts w:ascii="Cambria Math" w:eastAsia="Cambria Math" w:hAnsi="Cambria Math"/>
                <w:kern w:val="0"/>
                <w:szCs w:val="20"/>
              </w:rPr>
              <m:t>Σ</m:t>
            </m:r>
          </m:e>
          <m:sub>
            <m:sSubSup>
              <m:sSubSupPr>
                <m:ctrlPr>
                  <w:rPr>
                    <w:rFonts w:ascii="Cambria Math" w:eastAsia="Cambria Math" w:hAnsi="Cambria Math"/>
                    <w:i/>
                  </w:rPr>
                </m:ctrlPr>
              </m:sSubSupPr>
              <m:e>
                <m:d>
                  <m:dPr>
                    <m:begChr m:val="{"/>
                    <m:endChr m:val="}"/>
                    <m:ctrlPr>
                      <w:rPr>
                        <w:rFonts w:ascii="Cambria Math" w:eastAsia="Cambria Math" w:hAnsi="Cambria Math"/>
                        <w:i/>
                      </w:rPr>
                    </m:ctrlPr>
                  </m:dPr>
                  <m:e>
                    <m:r>
                      <w:rPr>
                        <w:rFonts w:ascii="Cambria Math" w:eastAsia="Cambria Math" w:hAnsi="Cambria Math"/>
                        <w:kern w:val="0"/>
                        <w:szCs w:val="20"/>
                      </w:rPr>
                      <m:t>i=0</m:t>
                    </m:r>
                  </m:e>
                </m:d>
              </m:e>
              <m:sub>
                <m:d>
                  <m:dPr>
                    <m:begChr m:val="{"/>
                    <m:endChr m:val="}"/>
                    <m:ctrlPr>
                      <w:rPr>
                        <w:rFonts w:ascii="Cambria Math" w:eastAsia="Cambria Math" w:hAnsi="Cambria Math"/>
                        <w:i/>
                      </w:rPr>
                    </m:ctrlPr>
                  </m:dPr>
                  <m:e>
                    <m:r>
                      <w:rPr>
                        <w:rFonts w:ascii="Cambria Math" w:eastAsia="Cambria Math" w:hAnsi="Cambria Math"/>
                        <w:kern w:val="0"/>
                        <w:szCs w:val="20"/>
                      </w:rPr>
                      <m:t>n,st+i</m:t>
                    </m:r>
                  </m:e>
                </m:d>
              </m:sub>
              <m:sup>
                <m:d>
                  <m:dPr>
                    <m:begChr m:val="{"/>
                    <m:endChr m:val="}"/>
                    <m:ctrlPr>
                      <w:rPr>
                        <w:rFonts w:ascii="Cambria Math" w:eastAsia="Cambria Math" w:hAnsi="Cambria Math"/>
                        <w:i/>
                      </w:rPr>
                    </m:ctrlPr>
                  </m:dPr>
                  <m:e>
                    <m:r>
                      <w:rPr>
                        <w:rFonts w:ascii="Cambria Math" w:eastAsia="Cambria Math" w:hAnsi="Cambria Math"/>
                        <w:kern w:val="0"/>
                        <w:szCs w:val="20"/>
                      </w:rPr>
                      <m:t>s-1</m:t>
                    </m:r>
                  </m:e>
                </m:d>
                <m:r>
                  <m:rPr>
                    <m:sty m:val="bi"/>
                  </m:rPr>
                  <w:rPr>
                    <w:rFonts w:ascii="Cambria Math" w:eastAsia="Cambria Math" w:hAnsi="Cambria Math"/>
                    <w:kern w:val="0"/>
                    <w:szCs w:val="20"/>
                  </w:rPr>
                  <m:t>X</m:t>
                </m:r>
              </m:sup>
            </m:sSubSup>
          </m:sub>
        </m:sSub>
        <m:r>
          <w:rPr>
            <w:rFonts w:ascii="Cambria Math" w:eastAsia="Cambria Math" w:hAnsi="Cambria Math"/>
            <w:kern w:val="0"/>
            <w:szCs w:val="20"/>
          </w:rPr>
          <m:t>,     t=0,…,</m:t>
        </m:r>
        <m:f>
          <m:fPr>
            <m:ctrlPr>
              <w:rPr>
                <w:rFonts w:ascii="Cambria Math" w:eastAsia="Cambria Math" w:hAnsi="Cambria Math"/>
                <w:i/>
              </w:rPr>
            </m:ctrlPr>
          </m:fPr>
          <m:num>
            <m:r>
              <w:rPr>
                <w:rFonts w:ascii="Cambria Math" w:eastAsia="Cambria Math" w:hAnsi="Cambria Math"/>
                <w:kern w:val="0"/>
                <w:szCs w:val="20"/>
              </w:rPr>
              <m:t>L</m:t>
            </m:r>
          </m:num>
          <m:den>
            <m:r>
              <w:rPr>
                <w:rFonts w:ascii="Cambria Math" w:eastAsia="Cambria Math" w:hAnsi="Cambria Math"/>
                <w:kern w:val="0"/>
                <w:szCs w:val="20"/>
              </w:rPr>
              <m:t>s</m:t>
            </m:r>
          </m:den>
        </m:f>
        <m:r>
          <w:rPr>
            <w:rFonts w:ascii="Cambria Math" w:eastAsia="Cambria Math" w:hAnsi="Cambria Math"/>
            <w:kern w:val="0"/>
            <w:szCs w:val="20"/>
          </w:rPr>
          <m:t>-1.</m:t>
        </m:r>
      </m:oMath>
      <w:r w:rsidRPr="00B14FA3">
        <w:rPr>
          <w:rFonts w:ascii="Cambria Math" w:eastAsia="Cambria Math" w:hAnsi="Cambria Math"/>
          <w:kern w:val="0"/>
          <w:szCs w:val="20"/>
        </w:rPr>
        <w:tab/>
      </w:r>
      <w:r w:rsidRPr="00B14FA3">
        <w:rPr>
          <w:kern w:val="0"/>
          <w:szCs w:val="20"/>
        </w:rPr>
        <w:t>(5)</w:t>
      </w:r>
    </w:p>
    <w:p w14:paraId="7293F014" w14:textId="77777777" w:rsidR="00B14FA3" w:rsidRPr="00B14FA3" w:rsidRDefault="00B14FA3" w:rsidP="00B14FA3">
      <w:pPr>
        <w:spacing w:line="360" w:lineRule="auto"/>
      </w:pPr>
      <w:r w:rsidRPr="00B14FA3">
        <w:rPr>
          <w:szCs w:val="21"/>
        </w:rPr>
        <w:t>三个尺度的输入长度依次为</w:t>
      </w:r>
      <w:r w:rsidRPr="00B14FA3">
        <w:rPr>
          <w:szCs w:val="21"/>
        </w:rPr>
        <w:t>96</w:t>
      </w:r>
      <w:r w:rsidRPr="00B14FA3">
        <w:rPr>
          <w:szCs w:val="21"/>
        </w:rPr>
        <w:t>、</w:t>
      </w:r>
      <w:r w:rsidRPr="00B14FA3">
        <w:rPr>
          <w:szCs w:val="21"/>
        </w:rPr>
        <w:t>48</w:t>
      </w:r>
      <w:r w:rsidRPr="00B14FA3">
        <w:rPr>
          <w:szCs w:val="21"/>
        </w:rPr>
        <w:t>和</w:t>
      </w:r>
      <w:r w:rsidRPr="00B14FA3">
        <w:rPr>
          <w:szCs w:val="21"/>
        </w:rPr>
        <w:t>24</w:t>
      </w:r>
      <w:r w:rsidRPr="00B14FA3">
        <w:rPr>
          <w:szCs w:val="21"/>
        </w:rPr>
        <w:t>。尺度</w:t>
      </w:r>
      <w:r w:rsidRPr="00B14FA3">
        <w:rPr>
          <w:szCs w:val="21"/>
        </w:rPr>
        <w:t>1</w:t>
      </w:r>
      <w:r w:rsidRPr="00B14FA3">
        <w:rPr>
          <w:szCs w:val="21"/>
        </w:rPr>
        <w:t>保留逐小时细节，尺度</w:t>
      </w:r>
      <w:r w:rsidRPr="00B14FA3">
        <w:rPr>
          <w:szCs w:val="21"/>
        </w:rPr>
        <w:t>2</w:t>
      </w:r>
      <w:r w:rsidRPr="00B14FA3">
        <w:rPr>
          <w:szCs w:val="21"/>
        </w:rPr>
        <w:t>和</w:t>
      </w:r>
      <w:r w:rsidRPr="00B14FA3">
        <w:rPr>
          <w:szCs w:val="21"/>
        </w:rPr>
        <w:t>4</w:t>
      </w:r>
      <w:r w:rsidRPr="00B14FA3">
        <w:rPr>
          <w:szCs w:val="21"/>
        </w:rPr>
        <w:t>逐步平滑局部扰动并扩大单个表示对应的时间范围。由于</w:t>
      </w:r>
      <w:r w:rsidRPr="00B14FA3">
        <w:rPr>
          <w:szCs w:val="21"/>
        </w:rPr>
        <w:t>L</w:t>
      </w:r>
      <w:r w:rsidRPr="00B14FA3">
        <w:rPr>
          <w:szCs w:val="21"/>
        </w:rPr>
        <w:t>能被各尺度整除，池化不需要补零或裁剪。平均池化本身不增加可训练参数，也使三条支路的含义明确。</w:t>
      </w:r>
    </w:p>
    <w:p w14:paraId="306E219C" w14:textId="77777777" w:rsidR="00B14FA3" w:rsidRPr="00B14FA3" w:rsidRDefault="00B14FA3" w:rsidP="00B14FA3">
      <w:pPr>
        <w:keepNext/>
        <w:keepLines/>
        <w:spacing w:before="80" w:after="20" w:line="415" w:lineRule="auto"/>
        <w:ind w:firstLine="0"/>
        <w:jc w:val="left"/>
        <w:outlineLvl w:val="1"/>
        <w:rPr>
          <w:rFonts w:eastAsia="黑体"/>
          <w:b/>
          <w:bCs/>
          <w:szCs w:val="32"/>
        </w:rPr>
      </w:pPr>
      <w:r w:rsidRPr="00B14FA3">
        <w:rPr>
          <w:rFonts w:eastAsia="黑体"/>
          <w:b/>
          <w:bCs/>
          <w:szCs w:val="21"/>
        </w:rPr>
        <w:t>1.3 DLinear</w:t>
      </w:r>
      <w:r w:rsidRPr="00B14FA3">
        <w:rPr>
          <w:rFonts w:eastAsia="黑体"/>
          <w:b/>
          <w:bCs/>
          <w:szCs w:val="21"/>
        </w:rPr>
        <w:t>尺度专家</w:t>
      </w:r>
    </w:p>
    <w:p w14:paraId="0C0C1858" w14:textId="77777777" w:rsidR="00B14FA3" w:rsidRPr="00B14FA3" w:rsidRDefault="00B14FA3" w:rsidP="00B14FA3">
      <w:pPr>
        <w:spacing w:line="360" w:lineRule="auto"/>
      </w:pPr>
      <w:r w:rsidRPr="00B14FA3">
        <w:rPr>
          <w:szCs w:val="21"/>
        </w:rPr>
        <w:t>每个尺度配置一个独立</w:t>
      </w:r>
      <w:r w:rsidRPr="00B14FA3">
        <w:rPr>
          <w:szCs w:val="21"/>
        </w:rPr>
        <w:t>DLinear</w:t>
      </w:r>
      <w:r w:rsidRPr="00B14FA3">
        <w:rPr>
          <w:szCs w:val="21"/>
        </w:rPr>
        <w:t>专家</w:t>
      </w:r>
      <w:r w:rsidRPr="00B14FA3">
        <w:rPr>
          <w:szCs w:val="21"/>
        </w:rPr>
        <w:t>[4]</w:t>
      </w:r>
      <w:r w:rsidRPr="00B14FA3">
        <w:rPr>
          <w:szCs w:val="21"/>
        </w:rPr>
        <w:t>。对尺度</w:t>
      </w:r>
      <w:r w:rsidRPr="00B14FA3">
        <w:rPr>
          <w:szCs w:val="21"/>
        </w:rPr>
        <w:t>s</w:t>
      </w:r>
      <w:r w:rsidRPr="00B14FA3">
        <w:rPr>
          <w:szCs w:val="21"/>
        </w:rPr>
        <w:t>的输入，以长度</w:t>
      </w:r>
      <w:r w:rsidRPr="00B14FA3">
        <w:rPr>
          <w:i/>
          <w:iCs/>
          <w:szCs w:val="21"/>
        </w:rPr>
        <w:t>q</w:t>
      </w:r>
      <w:r w:rsidRPr="00B14FA3">
        <w:rPr>
          <w:szCs w:val="21"/>
        </w:rPr>
        <w:t>=25</w:t>
      </w:r>
      <w:r w:rsidRPr="00B14FA3">
        <w:rPr>
          <w:szCs w:val="21"/>
        </w:rPr>
        <w:t>的中心移动平均提取趋势项，序列两端采用端点复制以保持长度：</w:t>
      </w:r>
    </w:p>
    <w:p w14:paraId="470EA410"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Sup>
          <m:sSubSupPr>
            <m:ctrlPr>
              <w:rPr>
                <w:rFonts w:ascii="Cambria Math" w:eastAsia="Cambria Math" w:hAnsi="Cambria Math"/>
                <w:i/>
              </w:rPr>
            </m:ctrlPr>
          </m:sSubSupPr>
          <m:e>
            <m:r>
              <m:rPr>
                <m:sty m:val="bi"/>
              </m:rPr>
              <w:rPr>
                <w:rFonts w:ascii="Cambria Math" w:eastAsia="Cambria Math" w:hAnsi="Cambria Math"/>
                <w:kern w:val="0"/>
                <w:szCs w:val="20"/>
              </w:rPr>
              <m:t>T</m:t>
            </m:r>
          </m:e>
          <m:sub>
            <m:d>
              <m:dPr>
                <m:begChr m:val="{"/>
                <m:endChr m:val="}"/>
                <m:ctrlPr>
                  <w:rPr>
                    <w:rFonts w:ascii="Cambria Math" w:eastAsia="Cambria Math" w:hAnsi="Cambria Math"/>
                    <w:i/>
                  </w:rPr>
                </m:ctrlPr>
              </m:dPr>
              <m:e>
                <m:r>
                  <w:rPr>
                    <w:rFonts w:ascii="Cambria Math" w:eastAsia="Cambria Math" w:hAnsi="Cambria Math"/>
                    <w:kern w:val="0"/>
                    <w:szCs w:val="20"/>
                  </w:rPr>
                  <m:t>n,t</m:t>
                </m:r>
              </m:e>
            </m:d>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q</m:t>
                </m:r>
              </m:den>
            </m:f>
          </m:e>
        </m:d>
        <m:sSubSup>
          <m:sSubSupPr>
            <m:ctrlPr>
              <w:rPr>
                <w:rFonts w:ascii="Cambria Math" w:eastAsia="Cambria Math" w:hAnsi="Cambria Math"/>
                <w:i/>
              </w:rPr>
            </m:ctrlPr>
          </m:sSubSup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i=-m</m:t>
                </m:r>
              </m:e>
            </m:d>
          </m:sub>
          <m:sup>
            <m:d>
              <m:dPr>
                <m:begChr m:val="{"/>
                <m:endChr m:val="}"/>
                <m:ctrlPr>
                  <w:rPr>
                    <w:rFonts w:ascii="Cambria Math" w:eastAsia="Cambria Math" w:hAnsi="Cambria Math"/>
                    <w:i/>
                  </w:rPr>
                </m:ctrlPr>
              </m:dPr>
              <m:e>
                <m:r>
                  <w:rPr>
                    <w:rFonts w:ascii="Cambria Math" w:eastAsia="Cambria Math" w:hAnsi="Cambria Math"/>
                    <w:kern w:val="0"/>
                    <w:szCs w:val="20"/>
                  </w:rPr>
                  <m:t>m</m:t>
                </m:r>
              </m:e>
            </m:d>
            <m:sSubSup>
              <m:sSubSupPr>
                <m:ctrlPr>
                  <w:rPr>
                    <w:rFonts w:ascii="Cambria Math" w:eastAsia="Cambria Math" w:hAnsi="Cambria Math"/>
                    <w:i/>
                  </w:rPr>
                </m:ctrlPr>
              </m:sSubSupPr>
              <m:e>
                <m:acc>
                  <m:accPr>
                    <m:chr m:val="̄"/>
                    <m:ctrlPr>
                      <w:rPr>
                        <w:rFonts w:ascii="Cambria Math" w:eastAsia="Cambria Math" w:hAnsi="Cambria Math"/>
                        <w:i/>
                      </w:rPr>
                    </m:ctrlPr>
                  </m:accPr>
                  <m:e>
                    <m:r>
                      <m:rPr>
                        <m:sty m:val="bi"/>
                      </m:rPr>
                      <w:rPr>
                        <w:rFonts w:ascii="Cambria Math" w:eastAsia="Cambria Math" w:hAnsi="Cambria Math"/>
                        <w:kern w:val="0"/>
                        <w:szCs w:val="20"/>
                      </w:rPr>
                      <m:t>X</m:t>
                    </m:r>
                  </m:e>
                </m:acc>
              </m:e>
              <m:sub>
                <m:d>
                  <m:dPr>
                    <m:begChr m:val="{"/>
                    <m:endChr m:val="}"/>
                    <m:ctrlPr>
                      <w:rPr>
                        <w:rFonts w:ascii="Cambria Math" w:eastAsia="Cambria Math" w:hAnsi="Cambria Math"/>
                        <w:i/>
                      </w:rPr>
                    </m:ctrlPr>
                  </m:dPr>
                  <m:e>
                    <m:r>
                      <w:rPr>
                        <w:rFonts w:ascii="Cambria Math" w:eastAsia="Cambria Math" w:hAnsi="Cambria Math"/>
                        <w:kern w:val="0"/>
                        <w:szCs w:val="20"/>
                      </w:rPr>
                      <m:t>n,t+i</m:t>
                    </m:r>
                  </m:e>
                </m:d>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sup>
        </m:sSubSup>
        <m:r>
          <w:rPr>
            <w:rFonts w:ascii="Cambria Math" w:eastAsia="Cambria Math" w:hAnsi="Cambria Math"/>
            <w:kern w:val="0"/>
            <w:szCs w:val="20"/>
          </w:rPr>
          <m:t>,     q=2m+1=25,</m:t>
        </m:r>
      </m:oMath>
      <w:r w:rsidRPr="00B14FA3">
        <w:rPr>
          <w:rFonts w:ascii="Cambria Math" w:eastAsia="Cambria Math" w:hAnsi="Cambria Math"/>
          <w:kern w:val="0"/>
          <w:szCs w:val="20"/>
        </w:rPr>
        <w:tab/>
      </w:r>
      <w:r w:rsidRPr="00B14FA3">
        <w:rPr>
          <w:kern w:val="0"/>
          <w:szCs w:val="20"/>
        </w:rPr>
        <w:t>(6)</w:t>
      </w:r>
    </w:p>
    <w:p w14:paraId="17B8C737"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Sup>
          <m:sSubSupPr>
            <m:ctrlPr>
              <w:rPr>
                <w:rFonts w:ascii="Cambria Math" w:eastAsia="Cambria Math" w:hAnsi="Cambria Math"/>
                <w:i/>
              </w:rPr>
            </m:ctrlPr>
          </m:sSubSupPr>
          <m:e>
            <m:r>
              <m:rPr>
                <m:sty m:val="bi"/>
              </m:rPr>
              <w:rPr>
                <w:rFonts w:ascii="Cambria Math" w:eastAsia="Cambria Math" w:hAnsi="Cambria Math"/>
                <w:kern w:val="0"/>
                <w:szCs w:val="20"/>
              </w:rPr>
              <m:t>R</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X</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T</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(7)</w:t>
      </w:r>
    </w:p>
    <w:p w14:paraId="26BF54CF" w14:textId="77777777" w:rsidR="00B14FA3" w:rsidRPr="00B14FA3" w:rsidRDefault="00B14FA3" w:rsidP="00B14FA3">
      <w:pPr>
        <w:spacing w:line="360" w:lineRule="auto"/>
      </w:pPr>
      <w:r>
        <w:rPr>
          <w:szCs w:val="21"/>
        </w:rPr>
        <w:t>趋势项</w:t>
      </w:r>
      <w:r>
        <w:rPr>
          <w:b/>
          <w:bCs/>
          <w:i/>
          <w:iCs/>
          <w:szCs w:val="21"/>
        </w:rPr>
        <w:t>T</w:t>
      </w:r>
      <w:r>
        <w:rPr>
          <w:szCs w:val="21"/>
          <w:vertAlign w:val="superscript"/>
        </w:rPr>
        <w:t>(</w:t>
      </w:r>
      <w:r>
        <w:rPr>
          <w:i/>
          <w:iCs/>
          <w:szCs w:val="21"/>
          <w:vertAlign w:val="superscript"/>
        </w:rPr>
        <w:t>s</w:t>
      </w:r>
      <w:r>
        <w:rPr>
          <w:szCs w:val="21"/>
          <w:vertAlign w:val="superscript"/>
        </w:rPr>
        <w:t>)</w:t>
      </w:r>
      <w:r>
        <w:rPr>
          <w:szCs w:val="21"/>
        </w:rPr>
        <w:t>和余项</w:t>
      </w:r>
      <w:r>
        <w:rPr>
          <w:b/>
          <w:bCs/>
          <w:i/>
          <w:iCs/>
          <w:szCs w:val="21"/>
        </w:rPr>
        <w:t>R</w:t>
      </w:r>
      <w:r>
        <w:rPr>
          <w:szCs w:val="21"/>
          <w:vertAlign w:val="superscript"/>
        </w:rPr>
        <w:t>(</w:t>
      </w:r>
      <w:r>
        <w:rPr>
          <w:i/>
          <w:iCs/>
          <w:szCs w:val="21"/>
          <w:vertAlign w:val="superscript"/>
        </w:rPr>
        <w:t>s</w:t>
      </w:r>
      <w:r>
        <w:rPr>
          <w:szCs w:val="21"/>
          <w:vertAlign w:val="superscript"/>
        </w:rPr>
        <w:t>)</w:t>
      </w:r>
      <w:r>
        <w:rPr>
          <w:szCs w:val="21"/>
        </w:rPr>
        <w:t>沿时间维分别通过线性层映射到预测长度</w:t>
      </w:r>
      <w:r>
        <w:rPr>
          <w:i/>
          <w:iCs/>
          <w:szCs w:val="21"/>
        </w:rPr>
        <w:t>H</w:t>
      </w:r>
      <w:r>
        <w:rPr>
          <w:szCs w:val="21"/>
        </w:rPr>
        <w:t>：</w:t>
      </w:r>
    </w:p>
    <w:p w14:paraId="15255C26"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Sup>
          <m:sSubSupPr>
            <m:ctrlPr>
              <w:rPr>
                <w:rFonts w:ascii="Cambria Math" w:eastAsia="Cambria Math" w:hAnsi="Cambria Math"/>
                <w:i/>
              </w:rPr>
            </m:ctrlPr>
          </m:sSubSupPr>
          <m:e>
            <m:r>
              <m:rPr>
                <m:sty m:val="bi"/>
              </m:rPr>
              <w:rPr>
                <w:rFonts w:ascii="Cambria Math" w:eastAsia="Cambria Math" w:hAnsi="Cambria Math"/>
                <w:kern w:val="0"/>
                <w:szCs w:val="20"/>
              </w:rPr>
              <m:t>Ŷ</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W</m:t>
            </m:r>
          </m:e>
          <m:sub>
            <m:r>
              <m:rPr>
                <m:sty m:val="p"/>
              </m:rPr>
              <w:rPr>
                <w:rFonts w:ascii="Cambria Math" w:eastAsia="Cambria Math" w:hAnsi="Cambria Math"/>
                <w:kern w:val="0"/>
                <w:szCs w:val="20"/>
              </w:rPr>
              <m:t>T</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SubSup>
              <m:sSubSupPr>
                <m:ctrlPr>
                  <w:rPr>
                    <w:rFonts w:ascii="Cambria Math" w:eastAsia="Cambria Math" w:hAnsi="Cambria Math"/>
                    <w:i/>
                  </w:rPr>
                </m:ctrlPr>
              </m:sSubSupPr>
              <m:e>
                <m:r>
                  <m:rPr>
                    <m:sty m:val="bi"/>
                  </m:rPr>
                  <w:rPr>
                    <w:rFonts w:ascii="Cambria Math" w:eastAsia="Cambria Math" w:hAnsi="Cambria Math"/>
                    <w:kern w:val="0"/>
                    <w:szCs w:val="20"/>
                  </w:rPr>
                  <m:t>T</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b</m:t>
            </m:r>
          </m:e>
          <m:sub>
            <m:r>
              <m:rPr>
                <m:sty m:val="p"/>
              </m:rPr>
              <w:rPr>
                <w:rFonts w:ascii="Cambria Math" w:eastAsia="Cambria Math" w:hAnsi="Cambria Math"/>
                <w:kern w:val="0"/>
                <w:szCs w:val="20"/>
              </w:rPr>
              <m:t>T</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W</m:t>
            </m:r>
          </m:e>
          <m:sub>
            <m:r>
              <m:rPr>
                <m:sty m:val="p"/>
              </m:rPr>
              <w:rPr>
                <w:rFonts w:ascii="Cambria Math" w:eastAsia="Cambria Math" w:hAnsi="Cambria Math"/>
                <w:kern w:val="0"/>
                <w:szCs w:val="20"/>
              </w:rPr>
              <m:t>R</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SubSup>
              <m:sSubSupPr>
                <m:ctrlPr>
                  <w:rPr>
                    <w:rFonts w:ascii="Cambria Math" w:eastAsia="Cambria Math" w:hAnsi="Cambria Math"/>
                    <w:i/>
                  </w:rPr>
                </m:ctrlPr>
              </m:sSubSupPr>
              <m:e>
                <m:r>
                  <m:rPr>
                    <m:sty m:val="bi"/>
                  </m:rPr>
                  <w:rPr>
                    <w:rFonts w:ascii="Cambria Math" w:eastAsia="Cambria Math" w:hAnsi="Cambria Math"/>
                    <w:kern w:val="0"/>
                    <w:szCs w:val="20"/>
                  </w:rPr>
                  <m:t>R</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b</m:t>
            </m:r>
          </m:e>
          <m:sub>
            <m:r>
              <m:rPr>
                <m:sty m:val="p"/>
              </m:rPr>
              <w:rPr>
                <w:rFonts w:ascii="Cambria Math" w:eastAsia="Cambria Math" w:hAnsi="Cambria Math"/>
                <w:kern w:val="0"/>
                <w:szCs w:val="20"/>
              </w:rPr>
              <m:t>R</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(8)</w:t>
      </w:r>
    </w:p>
    <w:p w14:paraId="554CD434" w14:textId="77777777" w:rsidR="00B14FA3" w:rsidRPr="00B14FA3" w:rsidRDefault="00B14FA3" w:rsidP="00B14FA3">
      <w:pPr>
        <w:spacing w:line="360" w:lineRule="auto"/>
      </w:pPr>
      <w:r>
        <w:rPr>
          <w:szCs w:val="21"/>
        </w:rPr>
        <w:t>式中，趋势项线性层和余项线性层分别具有独立的时间映射权重与偏置参数。</w:t>
      </w:r>
      <w:r w:rsidRPr="00B14FA3">
        <w:rPr>
          <w:szCs w:val="21"/>
        </w:rPr>
        <w:t>同一尺度内的</w:t>
      </w:r>
      <w:r w:rsidRPr="00B14FA3">
        <w:rPr>
          <w:szCs w:val="21"/>
        </w:rPr>
        <w:t>C</w:t>
      </w:r>
      <w:r w:rsidRPr="00B14FA3">
        <w:rPr>
          <w:szCs w:val="21"/>
        </w:rPr>
        <w:t>个变量共享时间映射权重，三个尺度使用不同参数。共享权重显著控制参数量，但不会显式学习</w:t>
      </w:r>
      <w:r w:rsidRPr="00B14FA3">
        <w:rPr>
          <w:szCs w:val="21"/>
        </w:rPr>
        <w:t>OD</w:t>
      </w:r>
      <w:r w:rsidRPr="00B14FA3">
        <w:rPr>
          <w:szCs w:val="21"/>
        </w:rPr>
        <w:t>变量间的拓扑关系。三个专家观察不同分辨率的输入，因此即使主干结构相同，也会形成互补预测。</w:t>
      </w:r>
    </w:p>
    <w:p w14:paraId="7F75A3C8" w14:textId="77777777" w:rsidR="00B14FA3" w:rsidRPr="00B14FA3" w:rsidRDefault="00B14FA3" w:rsidP="00B14FA3">
      <w:pPr>
        <w:keepNext/>
        <w:keepLines/>
        <w:spacing w:before="80" w:after="20" w:line="415" w:lineRule="auto"/>
        <w:ind w:firstLine="0"/>
        <w:jc w:val="left"/>
        <w:outlineLvl w:val="1"/>
        <w:rPr>
          <w:rFonts w:eastAsia="黑体"/>
          <w:b/>
          <w:bCs/>
          <w:szCs w:val="32"/>
        </w:rPr>
      </w:pPr>
      <w:r w:rsidRPr="00B14FA3">
        <w:rPr>
          <w:rFonts w:eastAsia="黑体"/>
          <w:b/>
          <w:bCs/>
          <w:szCs w:val="21"/>
        </w:rPr>
        <w:t xml:space="preserve">1.4 </w:t>
      </w:r>
      <w:r w:rsidRPr="00B14FA3">
        <w:rPr>
          <w:rFonts w:eastAsia="黑体"/>
          <w:b/>
          <w:bCs/>
          <w:szCs w:val="21"/>
        </w:rPr>
        <w:t>样本级自适应尺度加权</w:t>
      </w:r>
    </w:p>
    <w:p w14:paraId="5F192824" w14:textId="77777777" w:rsidR="00B14FA3" w:rsidRPr="00B14FA3" w:rsidRDefault="00B14FA3" w:rsidP="00B14FA3">
      <w:pPr>
        <w:spacing w:line="360" w:lineRule="auto"/>
      </w:pPr>
      <w:r>
        <w:rPr>
          <w:szCs w:val="21"/>
        </w:rPr>
        <w:t>固定平均默认三个尺度对每个窗口同等重要，难以反映流量状态差异。本文从原始输入</w:t>
      </w:r>
      <w:r>
        <w:rPr>
          <w:b/>
          <w:bCs/>
          <w:i/>
          <w:iCs/>
          <w:szCs w:val="21"/>
        </w:rPr>
        <w:t>X</w:t>
      </w:r>
      <w:r>
        <w:rPr>
          <w:i/>
          <w:iCs/>
          <w:szCs w:val="21"/>
          <w:vertAlign w:val="subscript"/>
        </w:rPr>
        <w:t>n</w:t>
      </w:r>
      <w:r>
        <w:rPr>
          <w:szCs w:val="21"/>
        </w:rPr>
        <w:t>提取四维统</w:t>
      </w:r>
      <w:r>
        <w:rPr>
          <w:szCs w:val="21"/>
        </w:rPr>
        <w:lastRenderedPageBreak/>
        <w:t>计向量</w:t>
      </w:r>
      <w:r>
        <w:rPr>
          <w:b/>
          <w:bCs/>
          <w:i/>
          <w:iCs/>
          <w:szCs w:val="21"/>
        </w:rPr>
        <w:t>z</w:t>
      </w:r>
      <w:r>
        <w:rPr>
          <w:i/>
          <w:iCs/>
          <w:szCs w:val="21"/>
          <w:vertAlign w:val="subscript"/>
        </w:rPr>
        <w:t>n</w:t>
      </w:r>
      <w:r>
        <w:rPr>
          <w:szCs w:val="21"/>
        </w:rPr>
        <w:t>=[</w:t>
      </w:r>
      <w:r>
        <w:rPr>
          <w:i/>
          <w:iCs/>
          <w:szCs w:val="21"/>
        </w:rPr>
        <w:t>μ</w:t>
      </w:r>
      <w:r>
        <w:rPr>
          <w:i/>
          <w:iCs/>
          <w:szCs w:val="21"/>
          <w:vertAlign w:val="subscript"/>
        </w:rPr>
        <w:t>n</w:t>
      </w:r>
      <w:r>
        <w:rPr>
          <w:szCs w:val="21"/>
        </w:rPr>
        <w:t>,</w:t>
      </w:r>
      <w:r>
        <w:rPr>
          <w:i/>
          <w:iCs/>
          <w:szCs w:val="21"/>
        </w:rPr>
        <w:t>σ</w:t>
      </w:r>
      <w:r>
        <w:rPr>
          <w:i/>
          <w:iCs/>
          <w:szCs w:val="21"/>
          <w:vertAlign w:val="subscript"/>
        </w:rPr>
        <w:t>n</w:t>
      </w:r>
      <w:r>
        <w:rPr>
          <w:szCs w:val="21"/>
        </w:rPr>
        <w:t>,</w:t>
      </w:r>
      <w:r>
        <w:rPr>
          <w:i/>
          <w:iCs/>
          <w:szCs w:val="21"/>
        </w:rPr>
        <w:t>ℓ</w:t>
      </w:r>
      <w:r>
        <w:rPr>
          <w:i/>
          <w:iCs/>
          <w:szCs w:val="21"/>
          <w:vertAlign w:val="subscript"/>
        </w:rPr>
        <w:t>n</w:t>
      </w:r>
      <w:r>
        <w:rPr>
          <w:szCs w:val="21"/>
        </w:rPr>
        <w:t>,</w:t>
      </w:r>
      <w:r>
        <w:rPr>
          <w:i/>
          <w:iCs/>
          <w:szCs w:val="21"/>
        </w:rPr>
        <w:t>d</w:t>
      </w:r>
      <w:r>
        <w:rPr>
          <w:i/>
          <w:iCs/>
          <w:szCs w:val="21"/>
          <w:vertAlign w:val="subscript"/>
        </w:rPr>
        <w:t>n</w:t>
      </w:r>
      <w:r>
        <w:rPr>
          <w:szCs w:val="21"/>
        </w:rPr>
        <w:t>]</w:t>
      </w:r>
      <w:r>
        <w:rPr>
          <w:szCs w:val="21"/>
        </w:rPr>
        <w:t>，其中</w:t>
      </w:r>
    </w:p>
    <w:p w14:paraId="6325C9EA"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w:rPr>
                <w:rFonts w:ascii="Cambria Math" w:eastAsia="Cambria Math" w:hAnsi="Cambria Math"/>
                <w:kern w:val="0"/>
                <w:szCs w:val="20"/>
              </w:rPr>
              <m:t>μ</m:t>
            </m:r>
          </m:e>
          <m:sub>
            <m:r>
              <w:rPr>
                <w:rFonts w:ascii="Cambria Math" w:eastAsia="Cambria Math" w:hAnsi="Cambria Math"/>
                <w:kern w:val="0"/>
                <w:szCs w:val="20"/>
              </w:rPr>
              <m:t>n</m:t>
            </m:r>
          </m:sub>
        </m:sSub>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LC</m:t>
                </m:r>
              </m:den>
            </m:f>
          </m:e>
        </m:d>
        <m:sSub>
          <m:sSubPr>
            <m:ctrlPr>
              <w:rPr>
                <w:rFonts w:ascii="Cambria Math" w:eastAsia="Cambria Math" w:hAnsi="Cambria Math"/>
                <w:i/>
              </w:rPr>
            </m:ctrlPr>
          </m:sSub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t,c</m:t>
                </m:r>
              </m:e>
            </m:d>
            <m:sSub>
              <m:sSubPr>
                <m:ctrlPr>
                  <w:rPr>
                    <w:rFonts w:ascii="Cambria Math" w:eastAsia="Cambria Math" w:hAnsi="Cambria Math"/>
                    <w:i/>
                  </w:rPr>
                </m:ctrlPr>
              </m:sSub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n,t,c</m:t>
                    </m:r>
                  </m:e>
                </m:d>
              </m:sub>
            </m:sSub>
          </m:sub>
        </m:sSub>
        <m:r>
          <w:rPr>
            <w:rFonts w:ascii="Cambria Math" w:eastAsia="Cambria Math" w:hAnsi="Cambria Math"/>
            <w:kern w:val="0"/>
            <w:szCs w:val="20"/>
          </w:rPr>
          <m:t xml:space="preserve">,     </m:t>
        </m:r>
        <m:sSub>
          <m:sSubPr>
            <m:ctrlPr>
              <w:rPr>
                <w:rFonts w:ascii="Cambria Math" w:eastAsia="Cambria Math" w:hAnsi="Cambria Math"/>
                <w:i/>
              </w:rPr>
            </m:ctrlPr>
          </m:sSubPr>
          <m:e>
            <m:r>
              <w:rPr>
                <w:rFonts w:ascii="Cambria Math" w:eastAsia="Cambria Math" w:hAnsi="Cambria Math"/>
                <w:kern w:val="0"/>
                <w:szCs w:val="20"/>
              </w:rPr>
              <m:t>σ</m:t>
            </m:r>
          </m:e>
          <m:sub>
            <m:r>
              <w:rPr>
                <w:rFonts w:ascii="Cambria Math" w:eastAsia="Cambria Math" w:hAnsi="Cambria Math"/>
                <w:kern w:val="0"/>
                <w:szCs w:val="20"/>
              </w:rPr>
              <m:t>n</m:t>
            </m:r>
          </m:sub>
        </m:sSub>
        <m:r>
          <w:rPr>
            <w:rFonts w:ascii="Cambria Math" w:eastAsia="Cambria Math" w:hAnsi="Cambria Math"/>
            <w:kern w:val="0"/>
            <w:szCs w:val="20"/>
          </w:rPr>
          <m:t>=</m:t>
        </m:r>
        <m:rad>
          <m:radPr>
            <m:degHide m:val="1"/>
            <m:ctrlPr>
              <w:rPr>
                <w:rFonts w:ascii="Cambria Math" w:eastAsia="Cambria Math" w:hAnsi="Cambria Math"/>
                <w:i/>
              </w:rPr>
            </m:ctrlPr>
          </m:radPr>
          <m:deg/>
          <m:e>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LC</m:t>
                    </m:r>
                  </m:den>
                </m:f>
              </m:e>
            </m:d>
            <m:sSubSup>
              <m:sSubSupPr>
                <m:ctrlPr>
                  <w:rPr>
                    <w:rFonts w:ascii="Cambria Math" w:eastAsia="Cambria Math" w:hAnsi="Cambria Math"/>
                    <w:i/>
                  </w:rPr>
                </m:ctrlPr>
              </m:sSubSup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t,c</m:t>
                    </m:r>
                  </m:e>
                </m:d>
                <m:d>
                  <m:dPr>
                    <m:ctrlPr>
                      <w:rPr>
                        <w:rFonts w:ascii="Cambria Math" w:eastAsia="Cambria Math" w:hAnsi="Cambria Math"/>
                        <w:i/>
                      </w:rPr>
                    </m:ctrlPr>
                  </m:dPr>
                  <m:e>
                    <m:sSub>
                      <m:sSubPr>
                        <m:ctrlPr>
                          <w:rPr>
                            <w:rFonts w:ascii="Cambria Math" w:eastAsia="Cambria Math" w:hAnsi="Cambria Math"/>
                            <w:i/>
                          </w:rPr>
                        </m:ctrlPr>
                      </m:sSub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n,t,c</m:t>
                            </m:r>
                          </m:e>
                        </m:d>
                      </m:sub>
                    </m:sSub>
                    <m:r>
                      <w:rPr>
                        <w:rFonts w:ascii="Cambria Math" w:eastAsia="Cambria Math" w:hAnsi="Cambria Math"/>
                        <w:kern w:val="0"/>
                        <w:szCs w:val="20"/>
                      </w:rPr>
                      <m:t>-</m:t>
                    </m:r>
                    <m:sSub>
                      <m:sSubPr>
                        <m:ctrlPr>
                          <w:rPr>
                            <w:rFonts w:ascii="Cambria Math" w:eastAsia="Cambria Math" w:hAnsi="Cambria Math"/>
                            <w:i/>
                          </w:rPr>
                        </m:ctrlPr>
                      </m:sSubPr>
                      <m:e>
                        <m:r>
                          <w:rPr>
                            <w:rFonts w:ascii="Cambria Math" w:eastAsia="Cambria Math" w:hAnsi="Cambria Math"/>
                            <w:kern w:val="0"/>
                            <w:szCs w:val="20"/>
                          </w:rPr>
                          <m:t>μ</m:t>
                        </m:r>
                      </m:e>
                      <m:sub>
                        <m:r>
                          <w:rPr>
                            <w:rFonts w:ascii="Cambria Math" w:eastAsia="Cambria Math" w:hAnsi="Cambria Math"/>
                            <w:kern w:val="0"/>
                            <w:szCs w:val="20"/>
                          </w:rPr>
                          <m:t>n</m:t>
                        </m:r>
                      </m:sub>
                    </m:sSub>
                  </m:e>
                </m:d>
              </m:sub>
              <m:sup>
                <m:r>
                  <w:rPr>
                    <w:rFonts w:ascii="Cambria Math" w:eastAsia="Cambria Math" w:hAnsi="Cambria Math"/>
                    <w:kern w:val="0"/>
                    <w:szCs w:val="20"/>
                  </w:rPr>
                  <m:t>2</m:t>
                </m:r>
              </m:sup>
            </m:sSubSup>
          </m:e>
        </m:rad>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(9)</w:t>
      </w:r>
    </w:p>
    <w:p w14:paraId="3BBFF1DF"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m:rPr>
                <m:scr m:val="script"/>
              </m:rPr>
              <w:rPr>
                <w:rFonts w:ascii="Cambria Math" w:eastAsia="Cambria Math" w:hAnsi="Cambria Math"/>
                <w:kern w:val="0"/>
                <w:szCs w:val="20"/>
              </w:rPr>
              <m:t>l</m:t>
            </m:r>
          </m:e>
          <m:sub>
            <m:r>
              <w:rPr>
                <w:rFonts w:ascii="Cambria Math" w:eastAsia="Cambria Math" w:hAnsi="Cambria Math"/>
                <w:kern w:val="0"/>
                <w:szCs w:val="20"/>
              </w:rPr>
              <m:t>n</m:t>
            </m:r>
          </m:sub>
        </m:sSub>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C</m:t>
                </m:r>
              </m:den>
            </m:f>
          </m:e>
        </m:d>
        <m:sSub>
          <m:sSubPr>
            <m:ctrlPr>
              <w:rPr>
                <w:rFonts w:ascii="Cambria Math" w:eastAsia="Cambria Math" w:hAnsi="Cambria Math"/>
                <w:i/>
              </w:rPr>
            </m:ctrlPr>
          </m:sSubPr>
          <m:e>
            <m:r>
              <w:rPr>
                <w:rFonts w:ascii="Cambria Math" w:eastAsia="Cambria Math" w:hAnsi="Cambria Math"/>
                <w:kern w:val="0"/>
                <w:szCs w:val="20"/>
              </w:rPr>
              <m:t>Σ</m:t>
            </m:r>
          </m:e>
          <m:sub>
            <m:r>
              <w:rPr>
                <w:rFonts w:ascii="Cambria Math" w:eastAsia="Cambria Math" w:hAnsi="Cambria Math"/>
                <w:kern w:val="0"/>
                <w:szCs w:val="20"/>
              </w:rPr>
              <m:t>c</m:t>
            </m:r>
            <m:sSub>
              <m:sSubPr>
                <m:ctrlPr>
                  <w:rPr>
                    <w:rFonts w:ascii="Cambria Math" w:eastAsia="Cambria Math" w:hAnsi="Cambria Math"/>
                    <w:i/>
                  </w:rPr>
                </m:ctrlPr>
              </m:sSub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n,L-1,c</m:t>
                    </m:r>
                  </m:e>
                </m:d>
              </m:sub>
            </m:sSub>
          </m:sub>
        </m:sSub>
        <m:r>
          <w:rPr>
            <w:rFonts w:ascii="Cambria Math" w:eastAsia="Cambria Math" w:hAnsi="Cambria Math"/>
            <w:kern w:val="0"/>
            <w:szCs w:val="20"/>
          </w:rPr>
          <m:t xml:space="preserve">,     </m:t>
        </m:r>
        <m:sSub>
          <m:sSubPr>
            <m:ctrlPr>
              <w:rPr>
                <w:rFonts w:ascii="Cambria Math" w:eastAsia="Cambria Math" w:hAnsi="Cambria Math"/>
                <w:i/>
              </w:rPr>
            </m:ctrlPr>
          </m:sSubPr>
          <m:e>
            <m:r>
              <w:rPr>
                <w:rFonts w:ascii="Cambria Math" w:eastAsia="Cambria Math" w:hAnsi="Cambria Math"/>
                <w:kern w:val="0"/>
                <w:szCs w:val="20"/>
              </w:rPr>
              <m:t>d</m:t>
            </m:r>
          </m:e>
          <m:sub>
            <m:r>
              <w:rPr>
                <w:rFonts w:ascii="Cambria Math" w:eastAsia="Cambria Math" w:hAnsi="Cambria Math"/>
                <w:kern w:val="0"/>
                <w:szCs w:val="20"/>
              </w:rPr>
              <m:t>n</m:t>
            </m:r>
          </m:sub>
        </m:sSub>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d>
                  <m:dPr>
                    <m:ctrlPr>
                      <w:rPr>
                        <w:rFonts w:ascii="Cambria Math" w:eastAsia="Cambria Math" w:hAnsi="Cambria Math"/>
                        <w:i/>
                      </w:rPr>
                    </m:ctrlPr>
                  </m:dPr>
                  <m:e>
                    <m:r>
                      <w:rPr>
                        <w:rFonts w:ascii="Cambria Math" w:eastAsia="Cambria Math" w:hAnsi="Cambria Math"/>
                        <w:kern w:val="0"/>
                        <w:szCs w:val="20"/>
                      </w:rPr>
                      <m:t>L-1</m:t>
                    </m:r>
                  </m:e>
                </m:d>
                <m:r>
                  <w:rPr>
                    <w:rFonts w:ascii="Cambria Math" w:eastAsia="Cambria Math" w:hAnsi="Cambria Math"/>
                    <w:kern w:val="0"/>
                    <w:szCs w:val="20"/>
                  </w:rPr>
                  <m:t>C</m:t>
                </m:r>
              </m:den>
            </m:f>
          </m:e>
        </m:d>
        <m:sSub>
          <m:sSubPr>
            <m:ctrlPr>
              <w:rPr>
                <w:rFonts w:ascii="Cambria Math" w:eastAsia="Cambria Math" w:hAnsi="Cambria Math"/>
                <w:i/>
              </w:rPr>
            </m:ctrlPr>
          </m:sSubPr>
          <m:e>
            <m:r>
              <w:rPr>
                <w:rFonts w:ascii="Cambria Math" w:eastAsia="Cambria Math" w:hAnsi="Cambria Math"/>
                <w:kern w:val="0"/>
                <w:szCs w:val="20"/>
              </w:rPr>
              <m:t>Σ</m:t>
            </m:r>
          </m:e>
          <m:sub>
            <m:sSubSup>
              <m:sSubSupPr>
                <m:ctrlPr>
                  <w:rPr>
                    <w:rFonts w:ascii="Cambria Math" w:eastAsia="Cambria Math" w:hAnsi="Cambria Math"/>
                    <w:i/>
                  </w:rPr>
                </m:ctrlPr>
              </m:sSubSupPr>
              <m:e>
                <m:d>
                  <m:dPr>
                    <m:begChr m:val="{"/>
                    <m:endChr m:val="}"/>
                    <m:ctrlPr>
                      <w:rPr>
                        <w:rFonts w:ascii="Cambria Math" w:eastAsia="Cambria Math" w:hAnsi="Cambria Math"/>
                        <w:i/>
                      </w:rPr>
                    </m:ctrlPr>
                  </m:dPr>
                  <m:e>
                    <m:r>
                      <w:rPr>
                        <w:rFonts w:ascii="Cambria Math" w:eastAsia="Cambria Math" w:hAnsi="Cambria Math"/>
                        <w:kern w:val="0"/>
                        <w:szCs w:val="20"/>
                      </w:rPr>
                      <m:t>t=1</m:t>
                    </m:r>
                  </m:e>
                </m:d>
              </m:e>
              <m:sub>
                <m:r>
                  <w:rPr>
                    <w:rFonts w:ascii="Cambria Math" w:eastAsia="Cambria Math" w:hAnsi="Cambria Math"/>
                    <w:kern w:val="0"/>
                    <w:szCs w:val="20"/>
                  </w:rPr>
                  <m:t>c</m:t>
                </m:r>
                <m:d>
                  <m:dPr>
                    <m:begChr m:val="|"/>
                    <m:endChr m:val="|"/>
                    <m:ctrlPr>
                      <w:rPr>
                        <w:rFonts w:ascii="Cambria Math" w:eastAsia="Cambria Math" w:hAnsi="Cambria Math"/>
                        <w:i/>
                      </w:rPr>
                    </m:ctrlPr>
                  </m:dPr>
                  <m:e>
                    <m:sSub>
                      <m:sSubPr>
                        <m:ctrlPr>
                          <w:rPr>
                            <w:rFonts w:ascii="Cambria Math" w:eastAsia="Cambria Math" w:hAnsi="Cambria Math"/>
                            <w:i/>
                          </w:rPr>
                        </m:ctrlPr>
                      </m:sSub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n,t,c</m:t>
                            </m:r>
                          </m:e>
                        </m:d>
                      </m:sub>
                    </m:sSub>
                    <m:r>
                      <w:rPr>
                        <w:rFonts w:ascii="Cambria Math" w:eastAsia="Cambria Math" w:hAnsi="Cambria Math"/>
                        <w:kern w:val="0"/>
                        <w:szCs w:val="20"/>
                      </w:rPr>
                      <m:t>-</m:t>
                    </m:r>
                    <m:sSub>
                      <m:sSubPr>
                        <m:ctrlPr>
                          <w:rPr>
                            <w:rFonts w:ascii="Cambria Math" w:eastAsia="Cambria Math" w:hAnsi="Cambria Math"/>
                            <w:i/>
                          </w:rPr>
                        </m:ctrlPr>
                      </m:sSub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n,t-1,c</m:t>
                            </m:r>
                          </m:e>
                        </m:d>
                      </m:sub>
                    </m:sSub>
                  </m:e>
                </m:d>
              </m:sub>
              <m:sup>
                <m:d>
                  <m:dPr>
                    <m:begChr m:val="{"/>
                    <m:endChr m:val="}"/>
                    <m:ctrlPr>
                      <w:rPr>
                        <w:rFonts w:ascii="Cambria Math" w:eastAsia="Cambria Math" w:hAnsi="Cambria Math"/>
                        <w:i/>
                      </w:rPr>
                    </m:ctrlPr>
                  </m:dPr>
                  <m:e>
                    <m:r>
                      <w:rPr>
                        <w:rFonts w:ascii="Cambria Math" w:eastAsia="Cambria Math" w:hAnsi="Cambria Math"/>
                        <w:kern w:val="0"/>
                        <w:szCs w:val="20"/>
                      </w:rPr>
                      <m:t>L-1</m:t>
                    </m:r>
                  </m:e>
                </m:d>
                <m:r>
                  <w:rPr>
                    <w:rFonts w:ascii="Cambria Math" w:eastAsia="Cambria Math" w:hAnsi="Cambria Math"/>
                    <w:kern w:val="0"/>
                    <w:szCs w:val="20"/>
                  </w:rPr>
                  <m:t>Σ</m:t>
                </m:r>
              </m:sup>
            </m:sSubSup>
          </m:sub>
        </m:sSub>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(10)</w:t>
      </w:r>
    </w:p>
    <w:p w14:paraId="4DAEC603" w14:textId="77777777" w:rsidR="00B14FA3" w:rsidRPr="00B14FA3" w:rsidRDefault="00B14FA3" w:rsidP="00B14FA3">
      <w:pPr>
        <w:spacing w:line="360" w:lineRule="auto"/>
      </w:pPr>
      <w:r>
        <w:rPr>
          <w:i/>
          <w:iCs/>
          <w:szCs w:val="21"/>
        </w:rPr>
        <w:t>μ</w:t>
      </w:r>
      <w:r>
        <w:rPr>
          <w:i/>
          <w:iCs/>
          <w:szCs w:val="21"/>
          <w:vertAlign w:val="subscript"/>
        </w:rPr>
        <w:t>n</w:t>
      </w:r>
      <w:r>
        <w:rPr>
          <w:szCs w:val="21"/>
        </w:rPr>
        <w:t>描述窗口总体水平，</w:t>
      </w:r>
      <w:r>
        <w:rPr>
          <w:i/>
          <w:iCs/>
          <w:szCs w:val="21"/>
        </w:rPr>
        <w:t>σ</w:t>
      </w:r>
      <w:r>
        <w:rPr>
          <w:i/>
          <w:iCs/>
          <w:szCs w:val="21"/>
          <w:vertAlign w:val="subscript"/>
        </w:rPr>
        <w:t>n</w:t>
      </w:r>
      <w:r>
        <w:rPr>
          <w:szCs w:val="21"/>
        </w:rPr>
        <w:t>描述离散程度，</w:t>
      </w:r>
      <w:r>
        <w:rPr>
          <w:i/>
          <w:iCs/>
          <w:szCs w:val="21"/>
        </w:rPr>
        <w:t>ℓ</w:t>
      </w:r>
      <w:r>
        <w:rPr>
          <w:i/>
          <w:iCs/>
          <w:szCs w:val="21"/>
          <w:vertAlign w:val="subscript"/>
        </w:rPr>
        <w:t>n</w:t>
      </w:r>
      <w:r>
        <w:rPr>
          <w:szCs w:val="21"/>
        </w:rPr>
        <w:t>描述最近时刻状态，</w:t>
      </w:r>
      <w:r>
        <w:rPr>
          <w:i/>
          <w:iCs/>
          <w:szCs w:val="21"/>
        </w:rPr>
        <w:t>d</w:t>
      </w:r>
      <w:r>
        <w:rPr>
          <w:i/>
          <w:iCs/>
          <w:szCs w:val="21"/>
          <w:vertAlign w:val="subscript"/>
        </w:rPr>
        <w:t>n</w:t>
      </w:r>
      <w:r>
        <w:rPr>
          <w:szCs w:val="21"/>
        </w:rPr>
        <w:t>描述平均变化强度。四维向量经隐藏维数为</w:t>
      </w:r>
      <w:r>
        <w:rPr>
          <w:szCs w:val="21"/>
        </w:rPr>
        <w:t>16</w:t>
      </w:r>
      <w:r>
        <w:rPr>
          <w:szCs w:val="21"/>
        </w:rPr>
        <w:t>的两层感知器得到三个尺度分数：</w:t>
      </w:r>
    </w:p>
    <w:p w14:paraId="44EF3E4D"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m:rPr>
                <m:sty m:val="bi"/>
              </m:rPr>
              <w:rPr>
                <w:rFonts w:ascii="Cambria Math" w:eastAsia="Cambria Math" w:hAnsi="Cambria Math"/>
                <w:kern w:val="0"/>
                <w:szCs w:val="20"/>
              </w:rPr>
              <m:t>a</m:t>
            </m:r>
          </m:e>
          <m:sub>
            <m:r>
              <w:rPr>
                <w:rFonts w:ascii="Cambria Math" w:eastAsia="Cambria Math" w:hAnsi="Cambria Math"/>
                <w:kern w:val="0"/>
                <w:szCs w:val="20"/>
              </w:rPr>
              <m:t>n</m:t>
            </m:r>
          </m:sub>
        </m:sSub>
        <m:r>
          <w:rPr>
            <w:rFonts w:ascii="Cambria Math" w:eastAsia="Cambria Math" w:hAnsi="Cambria Math"/>
            <w:kern w:val="0"/>
            <w:szCs w:val="20"/>
          </w:rPr>
          <m:t>=</m:t>
        </m:r>
        <m:sSub>
          <m:sSubPr>
            <m:ctrlPr>
              <w:rPr>
                <w:rFonts w:ascii="Cambria Math" w:eastAsia="Cambria Math" w:hAnsi="Cambria Math"/>
                <w:i/>
              </w:rPr>
            </m:ctrlPr>
          </m:sSubPr>
          <m:e>
            <m:r>
              <m:rPr>
                <m:sty m:val="bi"/>
              </m:rPr>
              <w:rPr>
                <w:rFonts w:ascii="Cambria Math" w:eastAsia="Cambria Math" w:hAnsi="Cambria Math"/>
                <w:kern w:val="0"/>
                <w:szCs w:val="20"/>
              </w:rPr>
              <m:t>W</m:t>
            </m:r>
          </m:e>
          <m:sub>
            <m:r>
              <m:rPr>
                <m:sty m:val="p"/>
              </m:rPr>
              <w:rPr>
                <w:rFonts w:ascii="Cambria Math" w:eastAsia="Cambria Math" w:hAnsi="Cambria Math"/>
                <w:kern w:val="0"/>
                <w:szCs w:val="20"/>
              </w:rPr>
              <m:t>2ReLU</m:t>
            </m:r>
            <m:d>
              <m:dPr>
                <m:ctrlPr>
                  <w:rPr>
                    <w:rFonts w:ascii="Cambria Math" w:eastAsia="Cambria Math" w:hAnsi="Cambria Math"/>
                    <w:i/>
                  </w:rPr>
                </m:ctrlPr>
              </m:dPr>
              <m:e>
                <m:sSub>
                  <m:sSubPr>
                    <m:ctrlPr>
                      <w:rPr>
                        <w:rFonts w:ascii="Cambria Math" w:eastAsia="Cambria Math" w:hAnsi="Cambria Math"/>
                        <w:i/>
                      </w:rPr>
                    </m:ctrlPr>
                  </m:sSubPr>
                  <m:e>
                    <m:r>
                      <m:rPr>
                        <m:sty m:val="bi"/>
                      </m:rPr>
                      <w:rPr>
                        <w:rFonts w:ascii="Cambria Math" w:eastAsia="Cambria Math" w:hAnsi="Cambria Math"/>
                        <w:kern w:val="0"/>
                        <w:szCs w:val="20"/>
                      </w:rPr>
                      <m:t>W</m:t>
                    </m:r>
                  </m:e>
                  <m:sub>
                    <m:r>
                      <w:rPr>
                        <w:rFonts w:ascii="Cambria Math" w:eastAsia="Cambria Math" w:hAnsi="Cambria Math"/>
                        <w:kern w:val="0"/>
                        <w:szCs w:val="20"/>
                      </w:rPr>
                      <m:t>1</m:t>
                    </m:r>
                    <m:sSub>
                      <m:sSubPr>
                        <m:ctrlPr>
                          <w:rPr>
                            <w:rFonts w:ascii="Cambria Math" w:eastAsia="Cambria Math" w:hAnsi="Cambria Math"/>
                            <w:i/>
                          </w:rPr>
                        </m:ctrlPr>
                      </m:sSubPr>
                      <m:e>
                        <m:r>
                          <m:rPr>
                            <m:sty m:val="bi"/>
                          </m:rPr>
                          <w:rPr>
                            <w:rFonts w:ascii="Cambria Math" w:eastAsia="Cambria Math" w:hAnsi="Cambria Math"/>
                            <w:kern w:val="0"/>
                            <w:szCs w:val="20"/>
                          </w:rPr>
                          <m:t>z</m:t>
                        </m:r>
                      </m:e>
                      <m:sub>
                        <m:r>
                          <w:rPr>
                            <w:rFonts w:ascii="Cambria Math" w:eastAsia="Cambria Math" w:hAnsi="Cambria Math"/>
                            <w:kern w:val="0"/>
                            <w:szCs w:val="20"/>
                          </w:rPr>
                          <m:t>n</m:t>
                        </m:r>
                      </m:sub>
                    </m:sSub>
                  </m:sub>
                </m:sSub>
                <m:r>
                  <w:rPr>
                    <w:rFonts w:ascii="Cambria Math" w:eastAsia="Cambria Math" w:hAnsi="Cambria Math"/>
                    <w:kern w:val="0"/>
                    <w:szCs w:val="20"/>
                  </w:rPr>
                  <m:t>+</m:t>
                </m:r>
                <m:sSub>
                  <m:sSubPr>
                    <m:ctrlPr>
                      <w:rPr>
                        <w:rFonts w:ascii="Cambria Math" w:eastAsia="Cambria Math" w:hAnsi="Cambria Math"/>
                        <w:i/>
                      </w:rPr>
                    </m:ctrlPr>
                  </m:sSubPr>
                  <m:e>
                    <m:r>
                      <m:rPr>
                        <m:sty m:val="bi"/>
                      </m:rPr>
                      <w:rPr>
                        <w:rFonts w:ascii="Cambria Math" w:eastAsia="Cambria Math" w:hAnsi="Cambria Math"/>
                        <w:kern w:val="0"/>
                        <w:szCs w:val="20"/>
                      </w:rPr>
                      <m:t>b</m:t>
                    </m:r>
                  </m:e>
                  <m:sub>
                    <m:r>
                      <w:rPr>
                        <w:rFonts w:ascii="Cambria Math" w:eastAsia="Cambria Math" w:hAnsi="Cambria Math"/>
                        <w:kern w:val="0"/>
                        <w:szCs w:val="20"/>
                      </w:rPr>
                      <m:t>1</m:t>
                    </m:r>
                  </m:sub>
                </m:sSub>
              </m:e>
            </m:d>
          </m:sub>
        </m:sSub>
        <m:r>
          <w:rPr>
            <w:rFonts w:ascii="Cambria Math" w:eastAsia="Cambria Math" w:hAnsi="Cambria Math"/>
            <w:kern w:val="0"/>
            <w:szCs w:val="20"/>
          </w:rPr>
          <m:t>+</m:t>
        </m:r>
        <m:sSub>
          <m:sSubPr>
            <m:ctrlPr>
              <w:rPr>
                <w:rFonts w:ascii="Cambria Math" w:eastAsia="Cambria Math" w:hAnsi="Cambria Math"/>
                <w:i/>
              </w:rPr>
            </m:ctrlPr>
          </m:sSubPr>
          <m:e>
            <m:r>
              <m:rPr>
                <m:sty m:val="bi"/>
              </m:rPr>
              <w:rPr>
                <w:rFonts w:ascii="Cambria Math" w:eastAsia="Cambria Math" w:hAnsi="Cambria Math"/>
                <w:kern w:val="0"/>
                <w:szCs w:val="20"/>
              </w:rPr>
              <m:t>b</m:t>
            </m:r>
          </m:e>
          <m:sub>
            <m:r>
              <w:rPr>
                <w:rFonts w:ascii="Cambria Math" w:eastAsia="Cambria Math" w:hAnsi="Cambria Math"/>
                <w:kern w:val="0"/>
                <w:szCs w:val="20"/>
              </w:rPr>
              <m:t>2</m:t>
            </m:r>
          </m:sub>
        </m:sSub>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(11)</w:t>
      </w:r>
    </w:p>
    <w:p w14:paraId="2935E851" w14:textId="77777777" w:rsidR="00B14FA3" w:rsidRPr="00B14FA3" w:rsidRDefault="00B14FA3" w:rsidP="00B14FA3">
      <w:pPr>
        <w:spacing w:line="360" w:lineRule="auto"/>
      </w:pPr>
      <w:r>
        <w:rPr>
          <w:szCs w:val="21"/>
        </w:rPr>
        <w:t>式中，两层感知器各自包含权重矩阵和偏置，输出为三个尺度的得分向量。</w:t>
      </w:r>
      <w:r w:rsidRPr="00B14FA3">
        <w:rPr>
          <w:szCs w:val="21"/>
        </w:rPr>
        <w:t>Softmax</w:t>
      </w:r>
      <w:r w:rsidRPr="00B14FA3">
        <w:rPr>
          <w:szCs w:val="21"/>
        </w:rPr>
        <w:t>将分数转换为非负、和为</w:t>
      </w:r>
      <w:r w:rsidRPr="00B14FA3">
        <w:rPr>
          <w:szCs w:val="21"/>
        </w:rPr>
        <w:t>1</w:t>
      </w:r>
      <w:r w:rsidRPr="00B14FA3">
        <w:rPr>
          <w:szCs w:val="21"/>
        </w:rPr>
        <w:t>的权重：</w:t>
      </w:r>
    </w:p>
    <w:p w14:paraId="141E24D3"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w:rPr>
                <w:rFonts w:ascii="Cambria Math" w:eastAsia="Cambria Math" w:hAnsi="Cambria Math"/>
                <w:kern w:val="0"/>
                <w:szCs w:val="20"/>
              </w:rPr>
              <m:t>α</m:t>
            </m:r>
          </m:e>
          <m:sub>
            <m:d>
              <m:dPr>
                <m:begChr m:val="{"/>
                <m:endChr m:val="}"/>
                <m:ctrlPr>
                  <w:rPr>
                    <w:rFonts w:ascii="Cambria Math" w:eastAsia="Cambria Math" w:hAnsi="Cambria Math"/>
                    <w:i/>
                  </w:rPr>
                </m:ctrlPr>
              </m:dPr>
              <m:e>
                <m:r>
                  <w:rPr>
                    <w:rFonts w:ascii="Cambria Math" w:eastAsia="Cambria Math" w:hAnsi="Cambria Math"/>
                    <w:kern w:val="0"/>
                    <w:szCs w:val="20"/>
                  </w:rPr>
                  <m:t>n,s</m:t>
                </m:r>
              </m:e>
            </m:d>
          </m:sub>
        </m:sSub>
        <m:r>
          <w:rPr>
            <w:rFonts w:ascii="Cambria Math" w:eastAsia="Cambria Math" w:hAnsi="Cambria Math"/>
            <w:kern w:val="0"/>
            <w:szCs w:val="20"/>
          </w:rPr>
          <m:t>=</m:t>
        </m:r>
        <m:f>
          <m:fPr>
            <m:ctrlPr>
              <w:rPr>
                <w:rFonts w:ascii="Cambria Math" w:eastAsia="Cambria Math" w:hAnsi="Cambria Math"/>
                <w:i/>
              </w:rPr>
            </m:ctrlPr>
          </m:fPr>
          <m:num>
            <m:func>
              <m:funcPr>
                <m:ctrlPr>
                  <w:rPr>
                    <w:rFonts w:ascii="Cambria Math" w:eastAsia="Cambria Math" w:hAnsi="Cambria Math"/>
                  </w:rPr>
                </m:ctrlPr>
              </m:funcPr>
              <m:fName>
                <m:r>
                  <m:rPr>
                    <m:sty m:val="p"/>
                  </m:rPr>
                  <w:rPr>
                    <w:rFonts w:ascii="Cambria Math" w:eastAsia="Cambria Math" w:hAnsi="Cambria Math"/>
                    <w:kern w:val="0"/>
                    <w:szCs w:val="20"/>
                  </w:rPr>
                  <m:t>exp</m:t>
                </m:r>
                <m:ctrlPr>
                  <w:rPr>
                    <w:rFonts w:ascii="Cambria Math" w:eastAsia="Cambria Math" w:hAnsi="Cambria Math"/>
                    <w:i/>
                  </w:rPr>
                </m:ctrlPr>
              </m:fName>
              <m:e>
                <m:d>
                  <m:dPr>
                    <m:ctrlPr>
                      <w:rPr>
                        <w:rFonts w:ascii="Cambria Math" w:eastAsia="Cambria Math" w:hAnsi="Cambria Math"/>
                        <w:i/>
                      </w:rPr>
                    </m:ctrlPr>
                  </m:dPr>
                  <m:e>
                    <m:sSub>
                      <m:sSubPr>
                        <m:ctrlPr>
                          <w:rPr>
                            <w:rFonts w:ascii="Cambria Math" w:eastAsia="Cambria Math" w:hAnsi="Cambria Math"/>
                            <w:i/>
                          </w:rPr>
                        </m:ctrlPr>
                      </m:sSubPr>
                      <m:e>
                        <m:r>
                          <w:rPr>
                            <w:rFonts w:ascii="Cambria Math" w:eastAsia="Cambria Math" w:hAnsi="Cambria Math"/>
                            <w:kern w:val="0"/>
                            <w:szCs w:val="20"/>
                          </w:rPr>
                          <m:t>a</m:t>
                        </m:r>
                      </m:e>
                      <m:sub>
                        <m:d>
                          <m:dPr>
                            <m:begChr m:val="{"/>
                            <m:endChr m:val="}"/>
                            <m:ctrlPr>
                              <w:rPr>
                                <w:rFonts w:ascii="Cambria Math" w:eastAsia="Cambria Math" w:hAnsi="Cambria Math"/>
                                <w:i/>
                              </w:rPr>
                            </m:ctrlPr>
                          </m:dPr>
                          <m:e>
                            <m:r>
                              <w:rPr>
                                <w:rFonts w:ascii="Cambria Math" w:eastAsia="Cambria Math" w:hAnsi="Cambria Math"/>
                                <w:kern w:val="0"/>
                                <w:szCs w:val="20"/>
                              </w:rPr>
                              <m:t>n,s</m:t>
                            </m:r>
                          </m:e>
                        </m:d>
                      </m:sub>
                    </m:sSub>
                  </m:e>
                </m:d>
              </m:e>
            </m:func>
          </m:num>
          <m:den>
            <m:func>
              <m:funcPr>
                <m:ctrlPr>
                  <w:rPr>
                    <w:rFonts w:ascii="Cambria Math" w:eastAsia="Cambria Math" w:hAnsi="Cambria Math"/>
                  </w:rPr>
                </m:ctrlPr>
              </m:funcPr>
              <m:fName>
                <m:sSub>
                  <m:sSubPr>
                    <m:ctrlPr>
                      <w:rPr>
                        <w:rFonts w:ascii="Cambria Math" w:eastAsia="Cambria Math" w:hAnsi="Cambria Math"/>
                        <w:i/>
                      </w:rPr>
                    </m:ctrlPr>
                  </m:sSub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j∈S</m:t>
                        </m:r>
                      </m:e>
                    </m:d>
                    <m:r>
                      <m:rPr>
                        <m:sty m:val="p"/>
                      </m:rPr>
                      <w:rPr>
                        <w:rFonts w:ascii="Cambria Math" w:eastAsia="Cambria Math" w:hAnsi="Cambria Math"/>
                        <w:kern w:val="0"/>
                        <w:szCs w:val="20"/>
                      </w:rPr>
                      <m:t>exp</m:t>
                    </m:r>
                  </m:sub>
                </m:sSub>
                <m:ctrlPr>
                  <w:rPr>
                    <w:rFonts w:ascii="Cambria Math" w:eastAsia="Cambria Math" w:hAnsi="Cambria Math"/>
                    <w:i/>
                  </w:rPr>
                </m:ctrlPr>
              </m:fName>
              <m:e>
                <m:d>
                  <m:dPr>
                    <m:ctrlPr>
                      <w:rPr>
                        <w:rFonts w:ascii="Cambria Math" w:eastAsia="Cambria Math" w:hAnsi="Cambria Math"/>
                        <w:i/>
                      </w:rPr>
                    </m:ctrlPr>
                  </m:dPr>
                  <m:e>
                    <m:sSub>
                      <m:sSubPr>
                        <m:ctrlPr>
                          <w:rPr>
                            <w:rFonts w:ascii="Cambria Math" w:eastAsia="Cambria Math" w:hAnsi="Cambria Math"/>
                            <w:i/>
                          </w:rPr>
                        </m:ctrlPr>
                      </m:sSubPr>
                      <m:e>
                        <m:r>
                          <w:rPr>
                            <w:rFonts w:ascii="Cambria Math" w:eastAsia="Cambria Math" w:hAnsi="Cambria Math"/>
                            <w:kern w:val="0"/>
                            <w:szCs w:val="20"/>
                          </w:rPr>
                          <m:t>a</m:t>
                        </m:r>
                      </m:e>
                      <m:sub>
                        <m:d>
                          <m:dPr>
                            <m:begChr m:val="{"/>
                            <m:endChr m:val="}"/>
                            <m:ctrlPr>
                              <w:rPr>
                                <w:rFonts w:ascii="Cambria Math" w:eastAsia="Cambria Math" w:hAnsi="Cambria Math"/>
                                <w:i/>
                              </w:rPr>
                            </m:ctrlPr>
                          </m:dPr>
                          <m:e>
                            <m:r>
                              <w:rPr>
                                <w:rFonts w:ascii="Cambria Math" w:eastAsia="Cambria Math" w:hAnsi="Cambria Math"/>
                                <w:kern w:val="0"/>
                                <w:szCs w:val="20"/>
                              </w:rPr>
                              <m:t>n,j</m:t>
                            </m:r>
                          </m:e>
                        </m:d>
                      </m:sub>
                    </m:sSub>
                  </m:e>
                </m:d>
              </m:e>
            </m:func>
          </m:den>
        </m:f>
        <m:r>
          <w:rPr>
            <w:rFonts w:ascii="Cambria Math" w:eastAsia="Cambria Math" w:hAnsi="Cambria Math"/>
            <w:kern w:val="0"/>
            <w:szCs w:val="20"/>
          </w:rPr>
          <m:t xml:space="preserve">,     </m:t>
        </m:r>
        <m:sSub>
          <m:sSubPr>
            <m:ctrlPr>
              <w:rPr>
                <w:rFonts w:ascii="Cambria Math" w:eastAsia="Cambria Math" w:hAnsi="Cambria Math"/>
                <w:i/>
              </w:rPr>
            </m:ctrlPr>
          </m:sSubPr>
          <m:e>
            <m:r>
              <w:rPr>
                <w:rFonts w:ascii="Cambria Math" w:eastAsia="Cambria Math" w:hAnsi="Cambria Math"/>
                <w:kern w:val="0"/>
                <w:szCs w:val="20"/>
              </w:rPr>
              <m:t>α</m:t>
            </m:r>
          </m:e>
          <m:sub>
            <m:d>
              <m:dPr>
                <m:begChr m:val="{"/>
                <m:endChr m:val="}"/>
                <m:ctrlPr>
                  <w:rPr>
                    <w:rFonts w:ascii="Cambria Math" w:eastAsia="Cambria Math" w:hAnsi="Cambria Math"/>
                    <w:i/>
                  </w:rPr>
                </m:ctrlPr>
              </m:dPr>
              <m:e>
                <m:r>
                  <w:rPr>
                    <w:rFonts w:ascii="Cambria Math" w:eastAsia="Cambria Math" w:hAnsi="Cambria Math"/>
                    <w:kern w:val="0"/>
                    <w:szCs w:val="20"/>
                  </w:rPr>
                  <m:t>n,s</m:t>
                </m:r>
              </m:e>
            </m:d>
          </m:sub>
        </m:sSub>
        <m:r>
          <w:rPr>
            <w:rFonts w:ascii="Cambria Math" w:eastAsia="Cambria Math" w:hAnsi="Cambria Math"/>
            <w:kern w:val="0"/>
            <w:szCs w:val="20"/>
          </w:rPr>
          <m:t xml:space="preserve">≥0,     </m:t>
        </m:r>
        <m:sSub>
          <m:sSubPr>
            <m:ctrlPr>
              <w:rPr>
                <w:rFonts w:ascii="Cambria Math" w:eastAsia="Cambria Math" w:hAnsi="Cambria Math"/>
                <w:i/>
              </w:rPr>
            </m:ctrlPr>
          </m:sSubPr>
          <m:e>
            <m:r>
              <w:rPr>
                <w:rFonts w:ascii="Cambria Math" w:eastAsia="Cambria Math" w:hAnsi="Cambria Math"/>
                <w:kern w:val="0"/>
                <w:szCs w:val="20"/>
              </w:rPr>
              <m:t>Σ</m:t>
            </m:r>
          </m:e>
          <m:sub>
            <m:r>
              <w:rPr>
                <w:rFonts w:ascii="Cambria Math" w:eastAsia="Cambria Math" w:hAnsi="Cambria Math"/>
                <w:kern w:val="0"/>
                <w:szCs w:val="20"/>
              </w:rPr>
              <m:t>s</m:t>
            </m:r>
            <m:sSub>
              <m:sSubPr>
                <m:ctrlPr>
                  <w:rPr>
                    <w:rFonts w:ascii="Cambria Math" w:eastAsia="Cambria Math" w:hAnsi="Cambria Math"/>
                    <w:i/>
                  </w:rPr>
                </m:ctrlPr>
              </m:sSubPr>
              <m:e>
                <m:r>
                  <w:rPr>
                    <w:rFonts w:ascii="Cambria Math" w:eastAsia="Cambria Math" w:hAnsi="Cambria Math"/>
                    <w:kern w:val="0"/>
                    <w:szCs w:val="20"/>
                  </w:rPr>
                  <m:t>α</m:t>
                </m:r>
              </m:e>
              <m:sub>
                <m:d>
                  <m:dPr>
                    <m:begChr m:val="{"/>
                    <m:endChr m:val="}"/>
                    <m:ctrlPr>
                      <w:rPr>
                        <w:rFonts w:ascii="Cambria Math" w:eastAsia="Cambria Math" w:hAnsi="Cambria Math"/>
                        <w:i/>
                      </w:rPr>
                    </m:ctrlPr>
                  </m:dPr>
                  <m:e>
                    <m:r>
                      <w:rPr>
                        <w:rFonts w:ascii="Cambria Math" w:eastAsia="Cambria Math" w:hAnsi="Cambria Math"/>
                        <w:kern w:val="0"/>
                        <w:szCs w:val="20"/>
                      </w:rPr>
                      <m:t>n,s</m:t>
                    </m:r>
                  </m:e>
                </m:d>
              </m:sub>
            </m:sSub>
          </m:sub>
        </m:sSub>
        <m:r>
          <w:rPr>
            <w:rFonts w:ascii="Cambria Math" w:eastAsia="Cambria Math" w:hAnsi="Cambria Math"/>
            <w:kern w:val="0"/>
            <w:szCs w:val="20"/>
          </w:rPr>
          <m:t>=1.</m:t>
        </m:r>
      </m:oMath>
      <w:r w:rsidRPr="00B14FA3">
        <w:rPr>
          <w:rFonts w:ascii="Cambria Math" w:eastAsia="Cambria Math" w:hAnsi="Cambria Math"/>
          <w:kern w:val="0"/>
          <w:szCs w:val="20"/>
        </w:rPr>
        <w:tab/>
      </w:r>
      <w:r w:rsidRPr="00B14FA3">
        <w:rPr>
          <w:kern w:val="0"/>
          <w:szCs w:val="20"/>
        </w:rPr>
        <w:t>(12)</w:t>
      </w:r>
    </w:p>
    <w:p w14:paraId="63776B5F" w14:textId="77777777" w:rsidR="00B14FA3" w:rsidRPr="00B14FA3" w:rsidRDefault="00B14FA3" w:rsidP="00B14FA3">
      <w:pPr>
        <w:spacing w:line="360" w:lineRule="auto"/>
      </w:pPr>
      <w:r w:rsidRPr="00B14FA3">
        <w:rPr>
          <w:szCs w:val="21"/>
        </w:rPr>
        <w:t>最终预测为</w:t>
      </w:r>
    </w:p>
    <w:p w14:paraId="775F089B"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m:rPr>
                <m:sty m:val="bi"/>
              </m:rPr>
              <w:rPr>
                <w:rFonts w:ascii="Cambria Math" w:eastAsia="Cambria Math" w:hAnsi="Cambria Math"/>
                <w:kern w:val="0"/>
                <w:szCs w:val="20"/>
              </w:rPr>
              <m:t>Ŷ</m:t>
            </m:r>
          </m:e>
          <m:sub>
            <m:r>
              <w:rPr>
                <w:rFonts w:ascii="Cambria Math" w:eastAsia="Cambria Math" w:hAnsi="Cambria Math"/>
                <w:kern w:val="0"/>
                <w:szCs w:val="20"/>
              </w:rPr>
              <m:t>n</m:t>
            </m:r>
          </m:sub>
        </m:sSub>
        <m:r>
          <w:rPr>
            <w:rFonts w:ascii="Cambria Math" w:eastAsia="Cambria Math" w:hAnsi="Cambria Math"/>
            <w:kern w:val="0"/>
            <w:szCs w:val="20"/>
          </w:rPr>
          <m:t>=</m:t>
        </m:r>
        <m:sSub>
          <m:sSubPr>
            <m:ctrlPr>
              <w:rPr>
                <w:rFonts w:ascii="Cambria Math" w:eastAsia="Cambria Math" w:hAnsi="Cambria Math"/>
                <w:i/>
              </w:rPr>
            </m:ctrlPr>
          </m:sSub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s∈S</m:t>
                </m:r>
              </m:e>
            </m:d>
            <m:sSub>
              <m:sSubPr>
                <m:ctrlPr>
                  <w:rPr>
                    <w:rFonts w:ascii="Cambria Math" w:eastAsia="Cambria Math" w:hAnsi="Cambria Math"/>
                    <w:i/>
                  </w:rPr>
                </m:ctrlPr>
              </m:sSubPr>
              <m:e>
                <m:r>
                  <w:rPr>
                    <w:rFonts w:ascii="Cambria Math" w:eastAsia="Cambria Math" w:hAnsi="Cambria Math"/>
                    <w:kern w:val="0"/>
                    <w:szCs w:val="20"/>
                  </w:rPr>
                  <m:t>α</m:t>
                </m:r>
              </m:e>
              <m:sub>
                <m:d>
                  <m:dPr>
                    <m:begChr m:val="{"/>
                    <m:endChr m:val="}"/>
                    <m:ctrlPr>
                      <w:rPr>
                        <w:rFonts w:ascii="Cambria Math" w:eastAsia="Cambria Math" w:hAnsi="Cambria Math"/>
                        <w:i/>
                      </w:rPr>
                    </m:ctrlPr>
                  </m:dPr>
                  <m:e>
                    <m:r>
                      <w:rPr>
                        <w:rFonts w:ascii="Cambria Math" w:eastAsia="Cambria Math" w:hAnsi="Cambria Math"/>
                        <w:kern w:val="0"/>
                        <w:szCs w:val="20"/>
                      </w:rPr>
                      <m:t>n,s</m:t>
                    </m:r>
                  </m:e>
                </m:d>
                <m:sSubSup>
                  <m:sSubSupPr>
                    <m:ctrlPr>
                      <w:rPr>
                        <w:rFonts w:ascii="Cambria Math" w:eastAsia="Cambria Math" w:hAnsi="Cambria Math"/>
                        <w:i/>
                      </w:rPr>
                    </m:ctrlPr>
                  </m:sSubSupPr>
                  <m:e>
                    <m:r>
                      <m:rPr>
                        <m:sty m:val="bi"/>
                      </m:rPr>
                      <w:rPr>
                        <w:rFonts w:ascii="Cambria Math" w:eastAsia="Cambria Math" w:hAnsi="Cambria Math"/>
                        <w:kern w:val="0"/>
                        <w:szCs w:val="20"/>
                      </w:rPr>
                      <m:t>Ŷ</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sub>
            </m:sSub>
          </m:sub>
        </m:sSub>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(13)</w:t>
      </w:r>
    </w:p>
    <w:p w14:paraId="13DA0E22" w14:textId="77777777" w:rsidR="00B14FA3" w:rsidRPr="00B14FA3" w:rsidRDefault="00B14FA3" w:rsidP="00B14FA3">
      <w:pPr>
        <w:spacing w:line="360" w:lineRule="auto"/>
      </w:pPr>
      <w:r>
        <w:rPr>
          <w:szCs w:val="21"/>
        </w:rPr>
        <w:t>每个样本单独生成一组权重，同一样本的全部</w:t>
      </w:r>
      <w:r>
        <w:rPr>
          <w:szCs w:val="21"/>
        </w:rPr>
        <w:t>OD</w:t>
      </w:r>
      <w:r>
        <w:rPr>
          <w:szCs w:val="21"/>
        </w:rPr>
        <w:t>变量共享该组权重。这是一种样本级而不是变量级路由，可控制复杂度并便于解释。固定等权消融令</w:t>
      </w:r>
      <w:r>
        <w:rPr>
          <w:i/>
          <w:iCs/>
          <w:szCs w:val="21"/>
        </w:rPr>
        <w:t>α</w:t>
      </w:r>
      <w:r>
        <w:rPr>
          <w:i/>
          <w:iCs/>
          <w:szCs w:val="21"/>
          <w:vertAlign w:val="subscript"/>
        </w:rPr>
        <w:t>n,s</w:t>
      </w:r>
      <w:r>
        <w:rPr>
          <w:szCs w:val="21"/>
        </w:rPr>
        <w:t>=1/3</w:t>
      </w:r>
      <w:r>
        <w:rPr>
          <w:szCs w:val="21"/>
        </w:rPr>
        <w:t>，其他结构和训练过程完全不变，因此固定组与自适应组的误差差异主要反映权重生成方式。</w:t>
      </w:r>
    </w:p>
    <w:p w14:paraId="2F5CF084" w14:textId="77777777" w:rsidR="00B14FA3" w:rsidRPr="00B14FA3" w:rsidRDefault="00B14FA3" w:rsidP="00B14FA3">
      <w:pPr>
        <w:keepNext/>
        <w:keepLines/>
        <w:spacing w:before="80" w:after="20" w:line="415" w:lineRule="auto"/>
        <w:ind w:firstLine="0"/>
        <w:jc w:val="left"/>
        <w:outlineLvl w:val="1"/>
        <w:rPr>
          <w:rFonts w:eastAsia="黑体"/>
          <w:b/>
          <w:bCs/>
          <w:szCs w:val="32"/>
        </w:rPr>
      </w:pPr>
      <w:r>
        <w:rPr>
          <w:rFonts w:eastAsia="黑体"/>
          <w:b/>
          <w:bCs/>
          <w:szCs w:val="21"/>
        </w:rPr>
        <w:t xml:space="preserve">1.5 </w:t>
      </w:r>
      <w:r>
        <w:rPr>
          <w:rFonts w:eastAsia="黑体"/>
          <w:b/>
          <w:bCs/>
          <w:szCs w:val="21"/>
        </w:rPr>
        <w:t>训练目标与模型复杂度</w:t>
      </w:r>
    </w:p>
    <w:p w14:paraId="1B83BA58" w14:textId="77777777" w:rsidR="00B14FA3" w:rsidRPr="00B14FA3" w:rsidRDefault="00B14FA3" w:rsidP="00B14FA3">
      <w:pPr>
        <w:spacing w:line="360" w:lineRule="auto"/>
      </w:pPr>
      <w:r w:rsidRPr="00B14FA3">
        <w:rPr>
          <w:szCs w:val="21"/>
        </w:rPr>
        <w:t>模型以所有样本、预测时刻和</w:t>
      </w:r>
      <w:r w:rsidRPr="00B14FA3">
        <w:rPr>
          <w:szCs w:val="21"/>
        </w:rPr>
        <w:t>OD</w:t>
      </w:r>
      <w:r w:rsidRPr="00B14FA3">
        <w:rPr>
          <w:szCs w:val="21"/>
        </w:rPr>
        <w:t>变量上的均方误差为目标：</w:t>
      </w:r>
    </w:p>
    <w:p w14:paraId="279072E6"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w:rPr>
                <w:rFonts w:ascii="Cambria Math" w:eastAsia="Cambria Math" w:hAnsi="Cambria Math"/>
                <w:kern w:val="0"/>
                <w:szCs w:val="20"/>
              </w:rPr>
              <m:t>L</m:t>
            </m:r>
          </m:e>
          <m:sub>
            <m:d>
              <m:dPr>
                <m:begChr m:val="{"/>
                <m:endChr m:val="}"/>
                <m:ctrlPr>
                  <w:rPr>
                    <w:rFonts w:ascii="Cambria Math" w:eastAsia="Cambria Math" w:hAnsi="Cambria Math"/>
                    <w:i/>
                  </w:rPr>
                </m:ctrlPr>
              </m:dPr>
              <m:e>
                <m:r>
                  <m:rPr>
                    <m:sty m:val="p"/>
                  </m:rPr>
                  <w:rPr>
                    <w:rFonts w:ascii="Cambria Math" w:eastAsia="Cambria Math" w:hAnsi="Cambria Math"/>
                    <w:kern w:val="0"/>
                    <w:szCs w:val="20"/>
                  </w:rPr>
                  <m:t>MSE</m:t>
                </m:r>
              </m:e>
            </m:d>
          </m:sub>
        </m:sSub>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NHC</m:t>
                </m:r>
              </m:den>
            </m:f>
          </m:e>
        </m:d>
        <m:sSubSup>
          <m:sSubSupPr>
            <m:ctrlPr>
              <w:rPr>
                <w:rFonts w:ascii="Cambria Math" w:eastAsia="Cambria Math" w:hAnsi="Cambria Math"/>
                <w:i/>
              </w:rPr>
            </m:ctrlPr>
          </m:sSubSup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n=1</m:t>
                </m:r>
              </m:e>
            </m:d>
          </m:sub>
          <m:sup>
            <m:d>
              <m:dPr>
                <m:begChr m:val="{"/>
                <m:endChr m:val="}"/>
                <m:ctrlPr>
                  <w:rPr>
                    <w:rFonts w:ascii="Cambria Math" w:eastAsia="Cambria Math" w:hAnsi="Cambria Math"/>
                    <w:i/>
                  </w:rPr>
                </m:ctrlPr>
              </m:dPr>
              <m:e>
                <m:r>
                  <w:rPr>
                    <w:rFonts w:ascii="Cambria Math" w:eastAsia="Cambria Math" w:hAnsi="Cambria Math"/>
                    <w:kern w:val="0"/>
                    <w:szCs w:val="20"/>
                  </w:rPr>
                  <m:t>N</m:t>
                </m:r>
              </m:e>
            </m:d>
            <m:sSubSup>
              <m:sSubSupPr>
                <m:ctrlPr>
                  <w:rPr>
                    <w:rFonts w:ascii="Cambria Math" w:eastAsia="Cambria Math" w:hAnsi="Cambria Math"/>
                    <w:i/>
                  </w:rPr>
                </m:ctrlPr>
              </m:sSubSup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h=1</m:t>
                    </m:r>
                  </m:e>
                </m:d>
              </m:sub>
              <m:sup>
                <m:d>
                  <m:dPr>
                    <m:begChr m:val="{"/>
                    <m:endChr m:val="}"/>
                    <m:ctrlPr>
                      <w:rPr>
                        <w:rFonts w:ascii="Cambria Math" w:eastAsia="Cambria Math" w:hAnsi="Cambria Math"/>
                        <w:i/>
                      </w:rPr>
                    </m:ctrlPr>
                  </m:dPr>
                  <m:e>
                    <m:r>
                      <w:rPr>
                        <w:rFonts w:ascii="Cambria Math" w:eastAsia="Cambria Math" w:hAnsi="Cambria Math"/>
                        <w:kern w:val="0"/>
                        <w:szCs w:val="20"/>
                      </w:rPr>
                      <m:t>H</m:t>
                    </m:r>
                  </m:e>
                </m:d>
                <m:sSubSup>
                  <m:sSubSupPr>
                    <m:ctrlPr>
                      <w:rPr>
                        <w:rFonts w:ascii="Cambria Math" w:eastAsia="Cambria Math" w:hAnsi="Cambria Math"/>
                        <w:i/>
                      </w:rPr>
                    </m:ctrlPr>
                  </m:sSubSup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c=1</m:t>
                        </m:r>
                      </m:e>
                    </m:d>
                  </m:sub>
                  <m:sup>
                    <m:d>
                      <m:dPr>
                        <m:begChr m:val="{"/>
                        <m:endChr m:val="}"/>
                        <m:ctrlPr>
                          <w:rPr>
                            <w:rFonts w:ascii="Cambria Math" w:eastAsia="Cambria Math" w:hAnsi="Cambria Math"/>
                            <w:i/>
                          </w:rPr>
                        </m:ctrlPr>
                      </m:dPr>
                      <m:e>
                        <m:r>
                          <w:rPr>
                            <w:rFonts w:ascii="Cambria Math" w:eastAsia="Cambria Math" w:hAnsi="Cambria Math"/>
                            <w:kern w:val="0"/>
                            <w:szCs w:val="20"/>
                          </w:rPr>
                          <m:t>C</m:t>
                        </m:r>
                      </m:e>
                    </m:d>
                    <m:sSup>
                      <m:sSupPr>
                        <m:ctrlPr>
                          <w:rPr>
                            <w:rFonts w:ascii="Cambria Math" w:eastAsia="Cambria Math" w:hAnsi="Cambria Math"/>
                            <w:i/>
                          </w:rPr>
                        </m:ctrlPr>
                      </m:sSupPr>
                      <m:e>
                        <m:d>
                          <m:dPr>
                            <m:ctrlPr>
                              <w:rPr>
                                <w:rFonts w:ascii="Cambria Math" w:eastAsia="Cambria Math" w:hAnsi="Cambria Math"/>
                                <w:i/>
                              </w:rPr>
                            </m:ctrlPr>
                          </m:dPr>
                          <m:e>
                            <m:sSub>
                              <m:sSubPr>
                                <m:ctrlPr>
                                  <w:rPr>
                                    <w:rFonts w:ascii="Cambria Math" w:eastAsia="Cambria Math" w:hAnsi="Cambria Math"/>
                                    <w:i/>
                                  </w:rPr>
                                </m:ctrlPr>
                              </m:sSubPr>
                              <m:e>
                                <m:r>
                                  <m:rPr>
                                    <m:sty m:val="bi"/>
                                  </m:rPr>
                                  <w:rPr>
                                    <w:rFonts w:ascii="Cambria Math" w:eastAsia="Cambria Math" w:hAnsi="Cambria Math"/>
                                    <w:kern w:val="0"/>
                                    <w:szCs w:val="20"/>
                                  </w:rPr>
                                  <m:t>Y</m:t>
                                </m:r>
                              </m:e>
                              <m:sub>
                                <m:d>
                                  <m:dPr>
                                    <m:begChr m:val="{"/>
                                    <m:endChr m:val="}"/>
                                    <m:ctrlPr>
                                      <w:rPr>
                                        <w:rFonts w:ascii="Cambria Math" w:eastAsia="Cambria Math" w:hAnsi="Cambria Math"/>
                                        <w:i/>
                                      </w:rPr>
                                    </m:ctrlPr>
                                  </m:dPr>
                                  <m:e>
                                    <m:r>
                                      <w:rPr>
                                        <w:rFonts w:ascii="Cambria Math" w:eastAsia="Cambria Math" w:hAnsi="Cambria Math"/>
                                        <w:kern w:val="0"/>
                                        <w:szCs w:val="20"/>
                                      </w:rPr>
                                      <m:t>n,h,c</m:t>
                                    </m:r>
                                  </m:e>
                                </m:d>
                              </m:sub>
                            </m:sSub>
                            <m:r>
                              <w:rPr>
                                <w:rFonts w:ascii="Cambria Math" w:eastAsia="Cambria Math" w:hAnsi="Cambria Math"/>
                                <w:kern w:val="0"/>
                                <w:szCs w:val="20"/>
                              </w:rPr>
                              <m:t>-</m:t>
                            </m:r>
                            <m:sSub>
                              <m:sSubPr>
                                <m:ctrlPr>
                                  <w:rPr>
                                    <w:rFonts w:ascii="Cambria Math" w:eastAsia="Cambria Math" w:hAnsi="Cambria Math"/>
                                    <w:i/>
                                  </w:rPr>
                                </m:ctrlPr>
                              </m:sSubPr>
                              <m:e>
                                <m:r>
                                  <m:rPr>
                                    <m:sty m:val="bi"/>
                                  </m:rPr>
                                  <w:rPr>
                                    <w:rFonts w:ascii="Cambria Math" w:eastAsia="Cambria Math" w:hAnsi="Cambria Math"/>
                                    <w:kern w:val="0"/>
                                    <w:szCs w:val="20"/>
                                  </w:rPr>
                                  <m:t>Ŷ</m:t>
                                </m:r>
                              </m:e>
                              <m:sub>
                                <m:d>
                                  <m:dPr>
                                    <m:begChr m:val="{"/>
                                    <m:endChr m:val="}"/>
                                    <m:ctrlPr>
                                      <w:rPr>
                                        <w:rFonts w:ascii="Cambria Math" w:eastAsia="Cambria Math" w:hAnsi="Cambria Math"/>
                                        <w:i/>
                                      </w:rPr>
                                    </m:ctrlPr>
                                  </m:dPr>
                                  <m:e>
                                    <m:r>
                                      <w:rPr>
                                        <w:rFonts w:ascii="Cambria Math" w:eastAsia="Cambria Math" w:hAnsi="Cambria Math"/>
                                        <w:kern w:val="0"/>
                                        <w:szCs w:val="20"/>
                                      </w:rPr>
                                      <m:t>n,h,c</m:t>
                                    </m:r>
                                  </m:e>
                                </m:d>
                              </m:sub>
                            </m:sSub>
                          </m:e>
                        </m:d>
                      </m:e>
                      <m:sup>
                        <m:r>
                          <w:rPr>
                            <w:rFonts w:ascii="Cambria Math" w:eastAsia="Cambria Math" w:hAnsi="Cambria Math"/>
                            <w:kern w:val="0"/>
                            <w:szCs w:val="20"/>
                          </w:rPr>
                          <m:t>2</m:t>
                        </m:r>
                      </m:sup>
                    </m:sSup>
                  </m:sup>
                </m:sSubSup>
              </m:sup>
            </m:sSubSup>
          </m:sup>
        </m:sSubSup>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(14)</w:t>
      </w:r>
    </w:p>
    <w:p w14:paraId="6B94AC7B" w14:textId="77777777" w:rsidR="00B14FA3" w:rsidRPr="00B14FA3" w:rsidRDefault="00B14FA3" w:rsidP="00B14FA3">
      <w:pPr>
        <w:spacing w:line="360" w:lineRule="auto"/>
      </w:pPr>
      <w:r>
        <w:rPr>
          <w:szCs w:val="21"/>
        </w:rPr>
        <w:t>式中，</w:t>
      </w:r>
      <w:r>
        <w:rPr>
          <w:szCs w:val="21"/>
        </w:rPr>
        <w:t>N</w:t>
      </w:r>
      <w:r>
        <w:rPr>
          <w:szCs w:val="21"/>
        </w:rPr>
        <w:t>为训练样本数，损失函数表示训练样本、预测时刻和</w:t>
      </w:r>
      <w:r>
        <w:rPr>
          <w:szCs w:val="21"/>
        </w:rPr>
        <w:t>OD</w:t>
      </w:r>
      <w:r>
        <w:rPr>
          <w:szCs w:val="21"/>
        </w:rPr>
        <w:t>变量上的平均平方误差。</w:t>
      </w:r>
      <w:r w:rsidRPr="00B14FA3">
        <w:rPr>
          <w:szCs w:val="21"/>
        </w:rPr>
        <w:t>使用</w:t>
      </w:r>
      <w:r w:rsidRPr="00B14FA3">
        <w:rPr>
          <w:szCs w:val="21"/>
        </w:rPr>
        <w:t>Adam</w:t>
      </w:r>
      <w:r w:rsidRPr="00B14FA3">
        <w:rPr>
          <w:szCs w:val="21"/>
        </w:rPr>
        <w:t>优化器更新参数，模型选择只依据验证集均方误差。单尺度</w:t>
      </w:r>
      <w:r w:rsidRPr="00B14FA3">
        <w:rPr>
          <w:szCs w:val="21"/>
        </w:rPr>
        <w:t>DLinear</w:t>
      </w:r>
      <w:r w:rsidRPr="00B14FA3">
        <w:rPr>
          <w:szCs w:val="21"/>
        </w:rPr>
        <w:t>、固定等权多尺度和自适应多尺度模型分别含</w:t>
      </w:r>
      <w:r w:rsidRPr="00B14FA3">
        <w:rPr>
          <w:szCs w:val="21"/>
        </w:rPr>
        <w:t>4656</w:t>
      </w:r>
      <w:r w:rsidRPr="00B14FA3">
        <w:rPr>
          <w:szCs w:val="21"/>
        </w:rPr>
        <w:t>、</w:t>
      </w:r>
      <w:r w:rsidRPr="00B14FA3">
        <w:rPr>
          <w:szCs w:val="21"/>
        </w:rPr>
        <w:t>8208</w:t>
      </w:r>
      <w:r w:rsidRPr="00B14FA3">
        <w:rPr>
          <w:szCs w:val="21"/>
        </w:rPr>
        <w:t>和</w:t>
      </w:r>
      <w:r w:rsidRPr="00B14FA3">
        <w:rPr>
          <w:szCs w:val="21"/>
        </w:rPr>
        <w:t>8339</w:t>
      </w:r>
      <w:r w:rsidRPr="00B14FA3">
        <w:rPr>
          <w:szCs w:val="21"/>
        </w:rPr>
        <w:t>个可训练参数，其中样本级路由器相对固定等权版本仅增加</w:t>
      </w:r>
      <w:r w:rsidRPr="00B14FA3">
        <w:rPr>
          <w:szCs w:val="21"/>
        </w:rPr>
        <w:t>131</w:t>
      </w:r>
      <w:r w:rsidRPr="00B14FA3">
        <w:rPr>
          <w:szCs w:val="21"/>
        </w:rPr>
        <w:t>个参数。模型不包含大型注意力矩阵或显式拓扑模块，结构复杂度主要来自三个尺度专家。</w:t>
      </w:r>
    </w:p>
    <w:p w14:paraId="41A9DD19" w14:textId="77777777" w:rsidR="00B14FA3" w:rsidRPr="00B14FA3" w:rsidRDefault="00B14FA3" w:rsidP="00B14FA3">
      <w:pPr>
        <w:keepNext/>
        <w:keepLines/>
        <w:spacing w:before="80" w:after="20"/>
        <w:ind w:firstLine="0"/>
        <w:jc w:val="left"/>
        <w:outlineLvl w:val="1"/>
        <w:rPr>
          <w:rFonts w:eastAsia="黑体"/>
          <w:b/>
          <w:bCs/>
          <w:szCs w:val="32"/>
        </w:rPr>
      </w:pPr>
      <w:r w:rsidRPr="00B14FA3">
        <w:rPr>
          <w:rFonts w:ascii="Arial" w:eastAsia="黑体" w:hAnsi="Arial"/>
          <w:b/>
          <w:bCs/>
          <w:color w:val="000000"/>
          <w:sz w:val="24"/>
          <w:szCs w:val="32"/>
        </w:rPr>
        <w:t xml:space="preserve">2 </w:t>
      </w:r>
      <w:r w:rsidRPr="00B14FA3">
        <w:rPr>
          <w:rFonts w:ascii="Arial" w:eastAsia="黑体" w:hAnsi="Arial"/>
          <w:b/>
          <w:bCs/>
          <w:color w:val="000000"/>
          <w:sz w:val="24"/>
          <w:szCs w:val="32"/>
        </w:rPr>
        <w:t>实验与结果分析</w:t>
      </w:r>
    </w:p>
    <w:p w14:paraId="2C93F002"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 xml:space="preserve">2.1 </w:t>
      </w:r>
      <w:r>
        <w:rPr>
          <w:rFonts w:ascii="Arial" w:eastAsia="黑体" w:hAnsi="Arial"/>
          <w:b/>
          <w:bCs/>
          <w:color w:val="000000"/>
          <w:szCs w:val="21"/>
        </w:rPr>
        <w:t>数据集与实验设置</w:t>
      </w:r>
    </w:p>
    <w:p w14:paraId="426B5418" w14:textId="77777777" w:rsidR="00B14FA3" w:rsidRPr="00B14FA3" w:rsidRDefault="00B14FA3" w:rsidP="00B14FA3">
      <w:r>
        <w:rPr>
          <w:color w:val="000000"/>
          <w:szCs w:val="21"/>
        </w:rPr>
        <w:t>实验选用</w:t>
      </w:r>
      <w:r>
        <w:rPr>
          <w:color w:val="000000"/>
          <w:szCs w:val="21"/>
        </w:rPr>
        <w:t>CESNET TS-Zoo[7]</w:t>
      </w:r>
      <w:r>
        <w:rPr>
          <w:color w:val="000000"/>
          <w:szCs w:val="21"/>
        </w:rPr>
        <w:t>中的</w:t>
      </w:r>
      <w:r>
        <w:rPr>
          <w:color w:val="000000"/>
          <w:szCs w:val="21"/>
        </w:rPr>
        <w:t>Abilene[8]</w:t>
      </w:r>
      <w:r>
        <w:rPr>
          <w:color w:val="000000"/>
          <w:szCs w:val="21"/>
        </w:rPr>
        <w:t>和</w:t>
      </w:r>
      <w:r>
        <w:rPr>
          <w:color w:val="000000"/>
          <w:szCs w:val="21"/>
        </w:rPr>
        <w:t>GÉANT[9]</w:t>
      </w:r>
      <w:r>
        <w:rPr>
          <w:color w:val="000000"/>
          <w:szCs w:val="21"/>
        </w:rPr>
        <w:t>骨干网</w:t>
      </w:r>
      <w:r>
        <w:rPr>
          <w:color w:val="000000"/>
          <w:szCs w:val="21"/>
        </w:rPr>
        <w:t>1 h</w:t>
      </w:r>
      <w:r>
        <w:rPr>
          <w:color w:val="000000"/>
          <w:szCs w:val="21"/>
        </w:rPr>
        <w:t>聚合流量矩阵。</w:t>
      </w:r>
      <w:r>
        <w:rPr>
          <w:color w:val="000000"/>
          <w:szCs w:val="21"/>
        </w:rPr>
        <w:t>Abilene</w:t>
      </w:r>
      <w:r>
        <w:rPr>
          <w:color w:val="000000"/>
          <w:szCs w:val="21"/>
        </w:rPr>
        <w:t>从</w:t>
      </w:r>
      <w:r>
        <w:rPr>
          <w:color w:val="000000"/>
          <w:szCs w:val="21"/>
        </w:rPr>
        <w:t>matrix_avg_realOD</w:t>
      </w:r>
      <w:r>
        <w:rPr>
          <w:color w:val="000000"/>
          <w:szCs w:val="21"/>
        </w:rPr>
        <w:t>提取</w:t>
      </w:r>
      <w:r>
        <w:rPr>
          <w:color w:val="000000"/>
          <w:szCs w:val="21"/>
        </w:rPr>
        <w:t>144</w:t>
      </w:r>
      <w:r>
        <w:rPr>
          <w:color w:val="000000"/>
          <w:szCs w:val="21"/>
        </w:rPr>
        <w:t>维有效</w:t>
      </w:r>
      <w:r>
        <w:rPr>
          <w:color w:val="000000"/>
          <w:szCs w:val="21"/>
        </w:rPr>
        <w:t>OD</w:t>
      </w:r>
      <w:r>
        <w:rPr>
          <w:color w:val="000000"/>
          <w:szCs w:val="21"/>
        </w:rPr>
        <w:t>流量，共</w:t>
      </w:r>
      <w:r>
        <w:rPr>
          <w:color w:val="000000"/>
          <w:szCs w:val="21"/>
        </w:rPr>
        <w:t>4656</w:t>
      </w:r>
      <w:r>
        <w:rPr>
          <w:color w:val="000000"/>
          <w:szCs w:val="21"/>
        </w:rPr>
        <w:t>个时间点；</w:t>
      </w:r>
      <w:r>
        <w:rPr>
          <w:color w:val="000000"/>
          <w:szCs w:val="21"/>
        </w:rPr>
        <w:t>GÉANT</w:t>
      </w:r>
      <w:r>
        <w:rPr>
          <w:color w:val="000000"/>
          <w:szCs w:val="21"/>
        </w:rPr>
        <w:t>从</w:t>
      </w:r>
      <w:r>
        <w:rPr>
          <w:color w:val="000000"/>
          <w:szCs w:val="21"/>
        </w:rPr>
        <w:t>matrix_avg_bandwidth_kbps</w:t>
      </w:r>
      <w:r>
        <w:rPr>
          <w:color w:val="000000"/>
          <w:szCs w:val="21"/>
        </w:rPr>
        <w:t>读取</w:t>
      </w:r>
      <w:r>
        <w:rPr>
          <w:color w:val="000000"/>
          <w:szCs w:val="21"/>
        </w:rPr>
        <w:t>529</w:t>
      </w:r>
      <w:r>
        <w:rPr>
          <w:color w:val="000000"/>
          <w:szCs w:val="21"/>
        </w:rPr>
        <w:t>维矩阵，去除</w:t>
      </w:r>
      <w:r>
        <w:rPr>
          <w:color w:val="000000"/>
          <w:szCs w:val="21"/>
        </w:rPr>
        <w:t>5</w:t>
      </w:r>
      <w:r>
        <w:rPr>
          <w:color w:val="000000"/>
          <w:szCs w:val="21"/>
        </w:rPr>
        <w:t>个恒定通道后保留</w:t>
      </w:r>
      <w:r>
        <w:rPr>
          <w:color w:val="000000"/>
          <w:szCs w:val="21"/>
        </w:rPr>
        <w:t>524</w:t>
      </w:r>
      <w:r>
        <w:rPr>
          <w:color w:val="000000"/>
          <w:szCs w:val="21"/>
        </w:rPr>
        <w:t>维有效变量，共</w:t>
      </w:r>
      <w:r>
        <w:rPr>
          <w:color w:val="000000"/>
          <w:szCs w:val="21"/>
        </w:rPr>
        <w:t>2849</w:t>
      </w:r>
      <w:r>
        <w:rPr>
          <w:color w:val="000000"/>
          <w:szCs w:val="21"/>
        </w:rPr>
        <w:t>个时间点。两数据集均按时间顺序以</w:t>
      </w:r>
      <w:r>
        <w:rPr>
          <w:color w:val="000000"/>
          <w:szCs w:val="21"/>
        </w:rPr>
        <w:t>6∶2∶2</w:t>
      </w:r>
      <w:r>
        <w:rPr>
          <w:color w:val="000000"/>
          <w:szCs w:val="21"/>
        </w:rPr>
        <w:t>划分训练集、验证集和测试集，并分别在各集合内部构造滑动窗口，避免跨集合泄漏。输入长度</w:t>
      </w:r>
      <w:r>
        <w:rPr>
          <w:color w:val="000000"/>
          <w:szCs w:val="21"/>
        </w:rPr>
        <w:t>L=96</w:t>
      </w:r>
      <w:r>
        <w:rPr>
          <w:color w:val="000000"/>
          <w:szCs w:val="21"/>
        </w:rPr>
        <w:t>，预测长度</w:t>
      </w:r>
      <w:r>
        <w:rPr>
          <w:color w:val="000000"/>
          <w:szCs w:val="21"/>
        </w:rPr>
        <w:t>H=24</w:t>
      </w:r>
      <w:r>
        <w:rPr>
          <w:color w:val="000000"/>
          <w:szCs w:val="21"/>
        </w:rPr>
        <w:t>；预处理与第</w:t>
      </w:r>
      <w:r>
        <w:rPr>
          <w:color w:val="000000"/>
          <w:szCs w:val="21"/>
        </w:rPr>
        <w:t>1.1</w:t>
      </w:r>
      <w:r>
        <w:rPr>
          <w:color w:val="000000"/>
          <w:szCs w:val="21"/>
        </w:rPr>
        <w:t>节一致，先进行</w:t>
      </w:r>
      <w:r>
        <w:rPr>
          <w:color w:val="000000"/>
          <w:szCs w:val="21"/>
        </w:rPr>
        <w:t>log(1+x)</w:t>
      </w:r>
      <w:r>
        <w:rPr>
          <w:color w:val="000000"/>
          <w:szCs w:val="21"/>
        </w:rPr>
        <w:t>变换，再仅使用训练集统计量逐变量标准化。数据规模见表</w:t>
      </w:r>
      <w:r>
        <w:rPr>
          <w:color w:val="000000"/>
          <w:szCs w:val="21"/>
        </w:rPr>
        <w:t>1</w:t>
      </w:r>
      <w:r>
        <w:rPr>
          <w:color w:val="000000"/>
          <w:szCs w:val="21"/>
        </w:rPr>
        <w:t>。</w:t>
      </w:r>
    </w:p>
    <w:p w14:paraId="2A85EE9E" w14:textId="77777777" w:rsidR="00B14FA3" w:rsidRPr="00B14FA3" w:rsidRDefault="00B14FA3" w:rsidP="00B14FA3">
      <w:pPr>
        <w:keepNext/>
        <w:spacing w:before="60" w:after="40"/>
        <w:ind w:firstLine="0"/>
        <w:jc w:val="center"/>
      </w:pPr>
      <w:r>
        <w:rPr>
          <w:rFonts w:eastAsia="黑体"/>
          <w:b/>
          <w:color w:val="000000"/>
          <w:sz w:val="18"/>
        </w:rPr>
        <w:t>表</w:t>
      </w:r>
      <w:r>
        <w:rPr>
          <w:rFonts w:eastAsia="黑体"/>
          <w:b/>
          <w:color w:val="000000"/>
          <w:sz w:val="18"/>
        </w:rPr>
        <w:t xml:space="preserve">1 </w:t>
      </w:r>
      <w:r>
        <w:rPr>
          <w:rFonts w:eastAsia="黑体"/>
          <w:b/>
          <w:color w:val="000000"/>
          <w:sz w:val="18"/>
        </w:rPr>
        <w:t>数据集与预测任务设置</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200"/>
        <w:gridCol w:w="1100"/>
        <w:gridCol w:w="1100"/>
        <w:gridCol w:w="2300"/>
        <w:gridCol w:w="2300"/>
        <w:gridCol w:w="1000"/>
      </w:tblGrid>
      <w:tr w:rsidR="00B10182" w14:paraId="4EA6D132" w14:textId="77777777">
        <w:trPr>
          <w:cantSplit/>
          <w:tblHeader/>
          <w:jc w:val="center"/>
        </w:trPr>
        <w:tc>
          <w:tcPr>
            <w:tcW w:w="1200" w:type="dxa"/>
            <w:tcBorders>
              <w:bottom w:val="single" w:sz="8" w:space="0" w:color="000000"/>
            </w:tcBorders>
            <w:tcMar>
              <w:top w:w="55" w:type="dxa"/>
              <w:left w:w="70" w:type="dxa"/>
              <w:bottom w:w="55" w:type="dxa"/>
              <w:right w:w="70" w:type="dxa"/>
            </w:tcMar>
            <w:vAlign w:val="center"/>
            <w:hideMark/>
          </w:tcPr>
          <w:p w14:paraId="6F1FEB54" w14:textId="77777777" w:rsidR="00B14FA3" w:rsidRPr="00B14FA3" w:rsidRDefault="00B14FA3" w:rsidP="00B14FA3">
            <w:pPr>
              <w:keepNext/>
              <w:ind w:firstLine="0"/>
              <w:jc w:val="center"/>
            </w:pPr>
            <w:r>
              <w:rPr>
                <w:b/>
                <w:color w:val="000000"/>
                <w:szCs w:val="21"/>
              </w:rPr>
              <w:t>数据集</w:t>
            </w:r>
          </w:p>
        </w:tc>
        <w:tc>
          <w:tcPr>
            <w:tcW w:w="1100" w:type="dxa"/>
            <w:tcBorders>
              <w:bottom w:val="single" w:sz="8" w:space="0" w:color="000000"/>
            </w:tcBorders>
            <w:tcMar>
              <w:top w:w="55" w:type="dxa"/>
              <w:left w:w="70" w:type="dxa"/>
              <w:bottom w:w="55" w:type="dxa"/>
              <w:right w:w="70" w:type="dxa"/>
            </w:tcMar>
            <w:vAlign w:val="center"/>
            <w:hideMark/>
          </w:tcPr>
          <w:p w14:paraId="3693DDBE" w14:textId="77777777" w:rsidR="00B14FA3" w:rsidRPr="00B14FA3" w:rsidRDefault="00B14FA3" w:rsidP="00B14FA3">
            <w:pPr>
              <w:keepNext/>
              <w:ind w:firstLine="0"/>
              <w:jc w:val="center"/>
            </w:pPr>
            <w:r>
              <w:rPr>
                <w:b/>
                <w:color w:val="000000"/>
                <w:szCs w:val="21"/>
              </w:rPr>
              <w:t>时间点</w:t>
            </w:r>
          </w:p>
        </w:tc>
        <w:tc>
          <w:tcPr>
            <w:tcW w:w="1100" w:type="dxa"/>
            <w:tcBorders>
              <w:bottom w:val="single" w:sz="8" w:space="0" w:color="000000"/>
            </w:tcBorders>
            <w:tcMar>
              <w:top w:w="55" w:type="dxa"/>
              <w:left w:w="70" w:type="dxa"/>
              <w:bottom w:w="55" w:type="dxa"/>
              <w:right w:w="70" w:type="dxa"/>
            </w:tcMar>
            <w:vAlign w:val="center"/>
            <w:hideMark/>
          </w:tcPr>
          <w:p w14:paraId="61AE8EF9" w14:textId="77777777" w:rsidR="00B14FA3" w:rsidRPr="00B14FA3" w:rsidRDefault="00B14FA3" w:rsidP="00B14FA3">
            <w:pPr>
              <w:keepNext/>
              <w:ind w:firstLine="0"/>
              <w:jc w:val="center"/>
            </w:pPr>
            <w:r>
              <w:rPr>
                <w:b/>
                <w:color w:val="000000"/>
                <w:szCs w:val="21"/>
              </w:rPr>
              <w:t>有效变量</w:t>
            </w:r>
            <w:r>
              <w:rPr>
                <w:b/>
                <w:color w:val="000000"/>
                <w:szCs w:val="21"/>
              </w:rPr>
              <w:t>C</w:t>
            </w:r>
          </w:p>
        </w:tc>
        <w:tc>
          <w:tcPr>
            <w:tcW w:w="2300" w:type="dxa"/>
            <w:tcBorders>
              <w:bottom w:val="single" w:sz="8" w:space="0" w:color="000000"/>
            </w:tcBorders>
            <w:tcMar>
              <w:top w:w="55" w:type="dxa"/>
              <w:left w:w="70" w:type="dxa"/>
              <w:bottom w:w="55" w:type="dxa"/>
              <w:right w:w="70" w:type="dxa"/>
            </w:tcMar>
            <w:vAlign w:val="center"/>
            <w:hideMark/>
          </w:tcPr>
          <w:p w14:paraId="00AFD535" w14:textId="77777777" w:rsidR="00B14FA3" w:rsidRPr="00B14FA3" w:rsidRDefault="00B14FA3" w:rsidP="00B14FA3">
            <w:pPr>
              <w:keepNext/>
              <w:ind w:firstLine="0"/>
              <w:jc w:val="center"/>
            </w:pPr>
            <w:r>
              <w:rPr>
                <w:b/>
                <w:color w:val="000000"/>
                <w:szCs w:val="21"/>
              </w:rPr>
              <w:t>训练</w:t>
            </w:r>
            <w:r>
              <w:rPr>
                <w:b/>
                <w:color w:val="000000"/>
                <w:szCs w:val="21"/>
              </w:rPr>
              <w:t>/</w:t>
            </w:r>
            <w:r>
              <w:rPr>
                <w:b/>
                <w:color w:val="000000"/>
                <w:szCs w:val="21"/>
              </w:rPr>
              <w:t>验证</w:t>
            </w:r>
            <w:r>
              <w:rPr>
                <w:b/>
                <w:color w:val="000000"/>
                <w:szCs w:val="21"/>
              </w:rPr>
              <w:t>/</w:t>
            </w:r>
            <w:r>
              <w:rPr>
                <w:b/>
                <w:color w:val="000000"/>
                <w:szCs w:val="21"/>
              </w:rPr>
              <w:t>测试时间点</w:t>
            </w:r>
          </w:p>
        </w:tc>
        <w:tc>
          <w:tcPr>
            <w:tcW w:w="2300" w:type="dxa"/>
            <w:tcBorders>
              <w:bottom w:val="single" w:sz="8" w:space="0" w:color="000000"/>
            </w:tcBorders>
            <w:tcMar>
              <w:top w:w="55" w:type="dxa"/>
              <w:left w:w="70" w:type="dxa"/>
              <w:bottom w:w="55" w:type="dxa"/>
              <w:right w:w="70" w:type="dxa"/>
            </w:tcMar>
            <w:vAlign w:val="center"/>
            <w:hideMark/>
          </w:tcPr>
          <w:p w14:paraId="7492F132" w14:textId="77777777" w:rsidR="00B14FA3" w:rsidRPr="00B14FA3" w:rsidRDefault="00B14FA3" w:rsidP="00B14FA3">
            <w:pPr>
              <w:keepNext/>
              <w:ind w:firstLine="0"/>
              <w:jc w:val="center"/>
            </w:pPr>
            <w:r>
              <w:rPr>
                <w:b/>
                <w:color w:val="000000"/>
                <w:szCs w:val="21"/>
              </w:rPr>
              <w:t>训练</w:t>
            </w:r>
            <w:r>
              <w:rPr>
                <w:b/>
                <w:color w:val="000000"/>
                <w:szCs w:val="21"/>
              </w:rPr>
              <w:t>/</w:t>
            </w:r>
            <w:r>
              <w:rPr>
                <w:b/>
                <w:color w:val="000000"/>
                <w:szCs w:val="21"/>
              </w:rPr>
              <w:t>验证</w:t>
            </w:r>
            <w:r>
              <w:rPr>
                <w:b/>
                <w:color w:val="000000"/>
                <w:szCs w:val="21"/>
              </w:rPr>
              <w:t>/</w:t>
            </w:r>
            <w:r>
              <w:rPr>
                <w:b/>
                <w:color w:val="000000"/>
                <w:szCs w:val="21"/>
              </w:rPr>
              <w:t>测试窗口</w:t>
            </w:r>
          </w:p>
        </w:tc>
        <w:tc>
          <w:tcPr>
            <w:tcW w:w="1000" w:type="dxa"/>
            <w:tcBorders>
              <w:bottom w:val="single" w:sz="8" w:space="0" w:color="000000"/>
            </w:tcBorders>
            <w:tcMar>
              <w:top w:w="55" w:type="dxa"/>
              <w:left w:w="70" w:type="dxa"/>
              <w:bottom w:w="55" w:type="dxa"/>
              <w:right w:w="70" w:type="dxa"/>
            </w:tcMar>
            <w:vAlign w:val="center"/>
            <w:hideMark/>
          </w:tcPr>
          <w:p w14:paraId="443C0C0B" w14:textId="77777777" w:rsidR="00B14FA3" w:rsidRPr="00B14FA3" w:rsidRDefault="00B14FA3" w:rsidP="00B14FA3">
            <w:pPr>
              <w:keepNext/>
              <w:ind w:firstLine="0"/>
              <w:jc w:val="center"/>
            </w:pPr>
            <w:r>
              <w:rPr>
                <w:b/>
                <w:color w:val="000000"/>
                <w:szCs w:val="21"/>
              </w:rPr>
              <w:t>L/H</w:t>
            </w:r>
          </w:p>
        </w:tc>
      </w:tr>
      <w:tr w:rsidR="00B10182" w14:paraId="60662C3F" w14:textId="77777777">
        <w:trPr>
          <w:cantSplit/>
          <w:jc w:val="center"/>
        </w:trPr>
        <w:tc>
          <w:tcPr>
            <w:tcW w:w="1200" w:type="dxa"/>
            <w:tcBorders>
              <w:top w:val="nil"/>
              <w:left w:val="nil"/>
              <w:bottom w:val="nil"/>
              <w:right w:val="nil"/>
            </w:tcBorders>
            <w:tcMar>
              <w:top w:w="55" w:type="dxa"/>
              <w:left w:w="70" w:type="dxa"/>
              <w:bottom w:w="55" w:type="dxa"/>
              <w:right w:w="70" w:type="dxa"/>
            </w:tcMar>
            <w:vAlign w:val="center"/>
            <w:hideMark/>
          </w:tcPr>
          <w:p w14:paraId="70B444C7" w14:textId="77777777" w:rsidR="00B14FA3" w:rsidRPr="00B14FA3" w:rsidRDefault="00B14FA3" w:rsidP="00B14FA3">
            <w:pPr>
              <w:keepNext/>
              <w:ind w:firstLine="0"/>
              <w:jc w:val="left"/>
            </w:pPr>
            <w:r>
              <w:rPr>
                <w:color w:val="000000"/>
                <w:szCs w:val="21"/>
              </w:rPr>
              <w:t>Abilene</w:t>
            </w:r>
          </w:p>
        </w:tc>
        <w:tc>
          <w:tcPr>
            <w:tcW w:w="1100" w:type="dxa"/>
            <w:tcBorders>
              <w:top w:val="nil"/>
              <w:left w:val="nil"/>
              <w:bottom w:val="nil"/>
              <w:right w:val="nil"/>
            </w:tcBorders>
            <w:tcMar>
              <w:top w:w="55" w:type="dxa"/>
              <w:left w:w="70" w:type="dxa"/>
              <w:bottom w:w="55" w:type="dxa"/>
              <w:right w:w="70" w:type="dxa"/>
            </w:tcMar>
            <w:vAlign w:val="center"/>
            <w:hideMark/>
          </w:tcPr>
          <w:p w14:paraId="4EBF696C" w14:textId="77777777" w:rsidR="00B14FA3" w:rsidRPr="00B14FA3" w:rsidRDefault="00B14FA3" w:rsidP="00B14FA3">
            <w:pPr>
              <w:keepNext/>
              <w:ind w:firstLine="0"/>
              <w:jc w:val="left"/>
            </w:pPr>
            <w:r>
              <w:rPr>
                <w:color w:val="000000"/>
                <w:szCs w:val="21"/>
              </w:rPr>
              <w:t>4656</w:t>
            </w:r>
          </w:p>
        </w:tc>
        <w:tc>
          <w:tcPr>
            <w:tcW w:w="1100" w:type="dxa"/>
            <w:tcBorders>
              <w:top w:val="nil"/>
              <w:left w:val="nil"/>
              <w:bottom w:val="nil"/>
              <w:right w:val="nil"/>
            </w:tcBorders>
            <w:tcMar>
              <w:top w:w="55" w:type="dxa"/>
              <w:left w:w="70" w:type="dxa"/>
              <w:bottom w:w="55" w:type="dxa"/>
              <w:right w:w="70" w:type="dxa"/>
            </w:tcMar>
            <w:vAlign w:val="center"/>
            <w:hideMark/>
          </w:tcPr>
          <w:p w14:paraId="203C3A10" w14:textId="77777777" w:rsidR="00B14FA3" w:rsidRPr="00B14FA3" w:rsidRDefault="00B14FA3" w:rsidP="00B14FA3">
            <w:pPr>
              <w:keepNext/>
              <w:ind w:firstLine="0"/>
              <w:jc w:val="left"/>
            </w:pPr>
            <w:r>
              <w:rPr>
                <w:color w:val="000000"/>
                <w:szCs w:val="21"/>
              </w:rPr>
              <w:t>144</w:t>
            </w:r>
          </w:p>
        </w:tc>
        <w:tc>
          <w:tcPr>
            <w:tcW w:w="2300" w:type="dxa"/>
            <w:tcBorders>
              <w:top w:val="nil"/>
              <w:left w:val="nil"/>
              <w:bottom w:val="nil"/>
              <w:right w:val="nil"/>
            </w:tcBorders>
            <w:tcMar>
              <w:top w:w="55" w:type="dxa"/>
              <w:left w:w="70" w:type="dxa"/>
              <w:bottom w:w="55" w:type="dxa"/>
              <w:right w:w="70" w:type="dxa"/>
            </w:tcMar>
            <w:vAlign w:val="center"/>
            <w:hideMark/>
          </w:tcPr>
          <w:p w14:paraId="418C4BE2" w14:textId="77777777" w:rsidR="00B14FA3" w:rsidRPr="00B14FA3" w:rsidRDefault="00B14FA3" w:rsidP="00B14FA3">
            <w:pPr>
              <w:keepNext/>
              <w:ind w:firstLine="0"/>
              <w:jc w:val="left"/>
            </w:pPr>
            <w:r>
              <w:rPr>
                <w:color w:val="000000"/>
                <w:szCs w:val="21"/>
              </w:rPr>
              <w:t>2793/931/932</w:t>
            </w:r>
          </w:p>
        </w:tc>
        <w:tc>
          <w:tcPr>
            <w:tcW w:w="2300" w:type="dxa"/>
            <w:tcBorders>
              <w:top w:val="nil"/>
              <w:left w:val="nil"/>
              <w:bottom w:val="nil"/>
              <w:right w:val="nil"/>
            </w:tcBorders>
            <w:tcMar>
              <w:top w:w="55" w:type="dxa"/>
              <w:left w:w="70" w:type="dxa"/>
              <w:bottom w:w="55" w:type="dxa"/>
              <w:right w:w="70" w:type="dxa"/>
            </w:tcMar>
            <w:vAlign w:val="center"/>
            <w:hideMark/>
          </w:tcPr>
          <w:p w14:paraId="3E47EF4C" w14:textId="77777777" w:rsidR="00B14FA3" w:rsidRPr="00B14FA3" w:rsidRDefault="00B14FA3" w:rsidP="00B14FA3">
            <w:pPr>
              <w:keepNext/>
              <w:ind w:firstLine="0"/>
              <w:jc w:val="left"/>
            </w:pPr>
            <w:r>
              <w:rPr>
                <w:color w:val="000000"/>
                <w:szCs w:val="21"/>
              </w:rPr>
              <w:t>2674/812/813</w:t>
            </w:r>
          </w:p>
        </w:tc>
        <w:tc>
          <w:tcPr>
            <w:tcW w:w="1000" w:type="dxa"/>
            <w:tcBorders>
              <w:top w:val="nil"/>
              <w:left w:val="nil"/>
              <w:bottom w:val="nil"/>
              <w:right w:val="nil"/>
            </w:tcBorders>
            <w:tcMar>
              <w:top w:w="55" w:type="dxa"/>
              <w:left w:w="70" w:type="dxa"/>
              <w:bottom w:w="55" w:type="dxa"/>
              <w:right w:w="70" w:type="dxa"/>
            </w:tcMar>
            <w:vAlign w:val="center"/>
            <w:hideMark/>
          </w:tcPr>
          <w:p w14:paraId="68B41A69" w14:textId="77777777" w:rsidR="00B14FA3" w:rsidRPr="00B14FA3" w:rsidRDefault="00B14FA3" w:rsidP="00B14FA3">
            <w:pPr>
              <w:keepNext/>
              <w:ind w:firstLine="0"/>
              <w:jc w:val="left"/>
            </w:pPr>
            <w:r>
              <w:rPr>
                <w:color w:val="000000"/>
                <w:szCs w:val="21"/>
              </w:rPr>
              <w:t>96/24</w:t>
            </w:r>
          </w:p>
        </w:tc>
      </w:tr>
      <w:tr w:rsidR="00B10182" w14:paraId="026887DD" w14:textId="77777777">
        <w:trPr>
          <w:cantSplit/>
          <w:jc w:val="center"/>
        </w:trPr>
        <w:tc>
          <w:tcPr>
            <w:tcW w:w="1200" w:type="dxa"/>
            <w:tcBorders>
              <w:top w:val="nil"/>
              <w:left w:val="nil"/>
              <w:bottom w:val="nil"/>
              <w:right w:val="nil"/>
            </w:tcBorders>
            <w:tcMar>
              <w:top w:w="55" w:type="dxa"/>
              <w:left w:w="70" w:type="dxa"/>
              <w:bottom w:w="55" w:type="dxa"/>
              <w:right w:w="70" w:type="dxa"/>
            </w:tcMar>
            <w:vAlign w:val="center"/>
            <w:hideMark/>
          </w:tcPr>
          <w:p w14:paraId="4ABC61A0" w14:textId="77777777" w:rsidR="00B14FA3" w:rsidRPr="00B14FA3" w:rsidRDefault="00B14FA3" w:rsidP="00B14FA3">
            <w:pPr>
              <w:keepNext/>
              <w:ind w:firstLine="0"/>
              <w:jc w:val="left"/>
            </w:pPr>
            <w:r>
              <w:rPr>
                <w:color w:val="000000"/>
                <w:szCs w:val="21"/>
              </w:rPr>
              <w:t>GÉANT</w:t>
            </w:r>
          </w:p>
        </w:tc>
        <w:tc>
          <w:tcPr>
            <w:tcW w:w="1100" w:type="dxa"/>
            <w:tcBorders>
              <w:top w:val="nil"/>
              <w:left w:val="nil"/>
              <w:bottom w:val="nil"/>
              <w:right w:val="nil"/>
            </w:tcBorders>
            <w:tcMar>
              <w:top w:w="55" w:type="dxa"/>
              <w:left w:w="70" w:type="dxa"/>
              <w:bottom w:w="55" w:type="dxa"/>
              <w:right w:w="70" w:type="dxa"/>
            </w:tcMar>
            <w:vAlign w:val="center"/>
            <w:hideMark/>
          </w:tcPr>
          <w:p w14:paraId="37FA10D1" w14:textId="77777777" w:rsidR="00B14FA3" w:rsidRPr="00B14FA3" w:rsidRDefault="00B14FA3" w:rsidP="00B14FA3">
            <w:pPr>
              <w:keepNext/>
              <w:ind w:firstLine="0"/>
              <w:jc w:val="left"/>
            </w:pPr>
            <w:r>
              <w:rPr>
                <w:color w:val="000000"/>
                <w:szCs w:val="21"/>
              </w:rPr>
              <w:t>2849</w:t>
            </w:r>
          </w:p>
        </w:tc>
        <w:tc>
          <w:tcPr>
            <w:tcW w:w="1100" w:type="dxa"/>
            <w:tcBorders>
              <w:top w:val="nil"/>
              <w:left w:val="nil"/>
              <w:bottom w:val="nil"/>
              <w:right w:val="nil"/>
            </w:tcBorders>
            <w:tcMar>
              <w:top w:w="55" w:type="dxa"/>
              <w:left w:w="70" w:type="dxa"/>
              <w:bottom w:w="55" w:type="dxa"/>
              <w:right w:w="70" w:type="dxa"/>
            </w:tcMar>
            <w:vAlign w:val="center"/>
            <w:hideMark/>
          </w:tcPr>
          <w:p w14:paraId="0F63E5AA" w14:textId="77777777" w:rsidR="00B14FA3" w:rsidRPr="00B14FA3" w:rsidRDefault="00B14FA3" w:rsidP="00B14FA3">
            <w:pPr>
              <w:keepNext/>
              <w:ind w:firstLine="0"/>
              <w:jc w:val="left"/>
            </w:pPr>
            <w:r>
              <w:rPr>
                <w:color w:val="000000"/>
                <w:szCs w:val="21"/>
              </w:rPr>
              <w:t>524</w:t>
            </w:r>
          </w:p>
        </w:tc>
        <w:tc>
          <w:tcPr>
            <w:tcW w:w="2300" w:type="dxa"/>
            <w:tcBorders>
              <w:top w:val="nil"/>
              <w:left w:val="nil"/>
              <w:bottom w:val="nil"/>
              <w:right w:val="nil"/>
            </w:tcBorders>
            <w:tcMar>
              <w:top w:w="55" w:type="dxa"/>
              <w:left w:w="70" w:type="dxa"/>
              <w:bottom w:w="55" w:type="dxa"/>
              <w:right w:w="70" w:type="dxa"/>
            </w:tcMar>
            <w:vAlign w:val="center"/>
            <w:hideMark/>
          </w:tcPr>
          <w:p w14:paraId="066E6608" w14:textId="77777777" w:rsidR="00B14FA3" w:rsidRPr="00B14FA3" w:rsidRDefault="00B14FA3" w:rsidP="00B14FA3">
            <w:pPr>
              <w:keepNext/>
              <w:ind w:firstLine="0"/>
              <w:jc w:val="left"/>
            </w:pPr>
            <w:r>
              <w:rPr>
                <w:color w:val="000000"/>
                <w:szCs w:val="21"/>
              </w:rPr>
              <w:t>1709/570/570</w:t>
            </w:r>
          </w:p>
        </w:tc>
        <w:tc>
          <w:tcPr>
            <w:tcW w:w="2300" w:type="dxa"/>
            <w:tcBorders>
              <w:top w:val="nil"/>
              <w:left w:val="nil"/>
              <w:bottom w:val="nil"/>
              <w:right w:val="nil"/>
            </w:tcBorders>
            <w:tcMar>
              <w:top w:w="55" w:type="dxa"/>
              <w:left w:w="70" w:type="dxa"/>
              <w:bottom w:w="55" w:type="dxa"/>
              <w:right w:w="70" w:type="dxa"/>
            </w:tcMar>
            <w:vAlign w:val="center"/>
            <w:hideMark/>
          </w:tcPr>
          <w:p w14:paraId="544CE805" w14:textId="77777777" w:rsidR="00B14FA3" w:rsidRPr="00B14FA3" w:rsidRDefault="00B14FA3" w:rsidP="00B14FA3">
            <w:pPr>
              <w:keepNext/>
              <w:ind w:firstLine="0"/>
              <w:jc w:val="left"/>
            </w:pPr>
            <w:r>
              <w:rPr>
                <w:color w:val="000000"/>
                <w:szCs w:val="21"/>
              </w:rPr>
              <w:t>1590/451/451</w:t>
            </w:r>
          </w:p>
        </w:tc>
        <w:tc>
          <w:tcPr>
            <w:tcW w:w="1000" w:type="dxa"/>
            <w:tcBorders>
              <w:top w:val="nil"/>
              <w:left w:val="nil"/>
              <w:bottom w:val="nil"/>
              <w:right w:val="nil"/>
            </w:tcBorders>
            <w:tcMar>
              <w:top w:w="55" w:type="dxa"/>
              <w:left w:w="70" w:type="dxa"/>
              <w:bottom w:w="55" w:type="dxa"/>
              <w:right w:w="70" w:type="dxa"/>
            </w:tcMar>
            <w:vAlign w:val="center"/>
            <w:hideMark/>
          </w:tcPr>
          <w:p w14:paraId="256DDA9D" w14:textId="77777777" w:rsidR="00B14FA3" w:rsidRPr="00B14FA3" w:rsidRDefault="00B14FA3" w:rsidP="00B14FA3">
            <w:pPr>
              <w:keepNext/>
              <w:ind w:firstLine="0"/>
              <w:jc w:val="left"/>
            </w:pPr>
            <w:r>
              <w:rPr>
                <w:color w:val="000000"/>
                <w:szCs w:val="21"/>
              </w:rPr>
              <w:t>96/24</w:t>
            </w:r>
          </w:p>
        </w:tc>
      </w:tr>
    </w:tbl>
    <w:p w14:paraId="7F30E00E" w14:textId="77777777" w:rsidR="00B14FA3" w:rsidRPr="00B14FA3" w:rsidRDefault="00B14FA3" w:rsidP="00B14FA3">
      <w:r>
        <w:rPr>
          <w:color w:val="000000"/>
          <w:szCs w:val="21"/>
        </w:rPr>
        <w:t>所有模型均通过统一训练接口完成，并采用</w:t>
      </w:r>
      <w:r>
        <w:rPr>
          <w:color w:val="000000"/>
          <w:szCs w:val="21"/>
        </w:rPr>
        <w:t>Adam</w:t>
      </w:r>
      <w:r>
        <w:rPr>
          <w:color w:val="000000"/>
          <w:szCs w:val="21"/>
        </w:rPr>
        <w:t>优化器和批量大小</w:t>
      </w:r>
      <w:r>
        <w:rPr>
          <w:color w:val="000000"/>
          <w:szCs w:val="21"/>
        </w:rPr>
        <w:t>16</w:t>
      </w:r>
      <w:r>
        <w:rPr>
          <w:color w:val="000000"/>
          <w:szCs w:val="21"/>
        </w:rPr>
        <w:t>。</w:t>
      </w:r>
      <w:r>
        <w:rPr>
          <w:color w:val="000000"/>
          <w:szCs w:val="21"/>
        </w:rPr>
        <w:t>DLinear</w:t>
      </w:r>
      <w:r>
        <w:rPr>
          <w:color w:val="000000"/>
          <w:szCs w:val="21"/>
        </w:rPr>
        <w:t>、固定等权多尺度和自适应多尺度模型的学习率为</w:t>
      </w:r>
      <w:r>
        <w:rPr>
          <w:color w:val="000000"/>
          <w:szCs w:val="21"/>
        </w:rPr>
        <w:t>0.001</w:t>
      </w:r>
      <w:r>
        <w:rPr>
          <w:color w:val="000000"/>
          <w:szCs w:val="21"/>
        </w:rPr>
        <w:t>，最多训练</w:t>
      </w:r>
      <w:r>
        <w:rPr>
          <w:color w:val="000000"/>
          <w:szCs w:val="21"/>
        </w:rPr>
        <w:t>30</w:t>
      </w:r>
      <w:r>
        <w:rPr>
          <w:color w:val="000000"/>
          <w:szCs w:val="21"/>
        </w:rPr>
        <w:t>轮，验证集</w:t>
      </w:r>
      <w:r>
        <w:rPr>
          <w:color w:val="000000"/>
          <w:szCs w:val="21"/>
        </w:rPr>
        <w:t>MSE</w:t>
      </w:r>
      <w:r>
        <w:rPr>
          <w:color w:val="000000"/>
          <w:szCs w:val="21"/>
        </w:rPr>
        <w:t>连续</w:t>
      </w:r>
      <w:r>
        <w:rPr>
          <w:color w:val="000000"/>
          <w:szCs w:val="21"/>
        </w:rPr>
        <w:t>6</w:t>
      </w:r>
      <w:r>
        <w:rPr>
          <w:color w:val="000000"/>
          <w:szCs w:val="21"/>
        </w:rPr>
        <w:t>轮未改善时提前停止；</w:t>
      </w:r>
      <w:r>
        <w:rPr>
          <w:color w:val="000000"/>
          <w:szCs w:val="21"/>
        </w:rPr>
        <w:t>LightTS</w:t>
      </w:r>
      <w:r>
        <w:rPr>
          <w:color w:val="000000"/>
          <w:szCs w:val="21"/>
        </w:rPr>
        <w:t>采用固定外部基线设置，学习率为</w:t>
      </w:r>
      <w:r>
        <w:rPr>
          <w:color w:val="000000"/>
          <w:szCs w:val="21"/>
        </w:rPr>
        <w:t>0.0001</w:t>
      </w:r>
      <w:r>
        <w:rPr>
          <w:color w:val="000000"/>
          <w:szCs w:val="21"/>
        </w:rPr>
        <w:t>，最多训练</w:t>
      </w:r>
      <w:r>
        <w:rPr>
          <w:color w:val="000000"/>
          <w:szCs w:val="21"/>
        </w:rPr>
        <w:t>50</w:t>
      </w:r>
      <w:r>
        <w:rPr>
          <w:color w:val="000000"/>
          <w:szCs w:val="21"/>
        </w:rPr>
        <w:t>轮，早停耐心为</w:t>
      </w:r>
      <w:r>
        <w:rPr>
          <w:color w:val="000000"/>
          <w:szCs w:val="21"/>
        </w:rPr>
        <w:t>10</w:t>
      </w:r>
      <w:r>
        <w:rPr>
          <w:color w:val="000000"/>
          <w:szCs w:val="21"/>
        </w:rPr>
        <w:t>。所有模型均以验证集</w:t>
      </w:r>
      <w:r>
        <w:rPr>
          <w:color w:val="000000"/>
          <w:szCs w:val="21"/>
        </w:rPr>
        <w:t>MSE</w:t>
      </w:r>
      <w:r>
        <w:rPr>
          <w:color w:val="000000"/>
          <w:szCs w:val="21"/>
        </w:rPr>
        <w:t>最低的参数进行测试。为避免不同重复次数造成统计口径混用，外部基线比较统一采用各模型共同完成的随机种子</w:t>
      </w:r>
      <w:r>
        <w:rPr>
          <w:color w:val="000000"/>
          <w:szCs w:val="21"/>
        </w:rPr>
        <w:t>42—44</w:t>
      </w:r>
      <w:r>
        <w:rPr>
          <w:color w:val="000000"/>
          <w:szCs w:val="21"/>
        </w:rPr>
        <w:t>；三个核心模型进一步采用</w:t>
      </w:r>
      <w:r>
        <w:rPr>
          <w:color w:val="000000"/>
          <w:szCs w:val="21"/>
        </w:rPr>
        <w:t>42—49</w:t>
      </w:r>
      <w:r>
        <w:rPr>
          <w:color w:val="000000"/>
          <w:szCs w:val="21"/>
        </w:rPr>
        <w:t>共</w:t>
      </w:r>
      <w:r>
        <w:rPr>
          <w:color w:val="000000"/>
          <w:szCs w:val="21"/>
        </w:rPr>
        <w:t>8</w:t>
      </w:r>
      <w:r>
        <w:rPr>
          <w:color w:val="000000"/>
          <w:szCs w:val="21"/>
        </w:rPr>
        <w:t>个随机种子进行机制稳定性分析。</w:t>
      </w:r>
    </w:p>
    <w:p w14:paraId="111070D4"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 xml:space="preserve">2.2 </w:t>
      </w:r>
      <w:r>
        <w:rPr>
          <w:rFonts w:ascii="Arial" w:eastAsia="黑体" w:hAnsi="Arial"/>
          <w:b/>
          <w:bCs/>
          <w:color w:val="000000"/>
          <w:szCs w:val="21"/>
        </w:rPr>
        <w:t>对比模型与评价指标</w:t>
      </w:r>
    </w:p>
    <w:p w14:paraId="3EC5233F" w14:textId="77777777" w:rsidR="00B14FA3" w:rsidRPr="00B14FA3" w:rsidRDefault="00B14FA3" w:rsidP="00B14FA3">
      <w:r>
        <w:rPr>
          <w:color w:val="000000"/>
          <w:szCs w:val="21"/>
        </w:rPr>
        <w:t>对比模型包括单尺度</w:t>
      </w:r>
      <w:r>
        <w:rPr>
          <w:color w:val="000000"/>
          <w:szCs w:val="21"/>
        </w:rPr>
        <w:t>DLinear</w:t>
      </w:r>
      <w:r>
        <w:rPr>
          <w:color w:val="000000"/>
          <w:szCs w:val="21"/>
        </w:rPr>
        <w:t>、外部轻量基线</w:t>
      </w:r>
      <w:r>
        <w:rPr>
          <w:color w:val="000000"/>
          <w:szCs w:val="21"/>
        </w:rPr>
        <w:t>LightTS</w:t>
      </w:r>
      <w:r>
        <w:rPr>
          <w:color w:val="000000"/>
          <w:szCs w:val="21"/>
        </w:rPr>
        <w:t>、固定等权多尺度模型和本文自适应多尺度模型。其中，</w:t>
      </w:r>
      <w:r>
        <w:rPr>
          <w:color w:val="000000"/>
          <w:szCs w:val="21"/>
        </w:rPr>
        <w:t>LightTS</w:t>
      </w:r>
      <w:r>
        <w:rPr>
          <w:color w:val="000000"/>
          <w:szCs w:val="21"/>
        </w:rPr>
        <w:t>采用</w:t>
      </w:r>
      <w:r>
        <w:rPr>
          <w:color w:val="000000"/>
          <w:szCs w:val="21"/>
        </w:rPr>
        <w:t>Time-Series-Library</w:t>
      </w:r>
      <w:r>
        <w:rPr>
          <w:color w:val="000000"/>
          <w:szCs w:val="21"/>
        </w:rPr>
        <w:t>中固定版本的原始模型逻辑，并通过适配器接入与其他模型相同的数据划分、预处理和训练接口；固定等权多尺度与本文方法使用相同的尺度集合</w:t>
      </w:r>
      <w:r>
        <w:rPr>
          <w:color w:val="000000"/>
          <w:szCs w:val="21"/>
        </w:rPr>
        <w:t>{1,2,4}</w:t>
      </w:r>
      <w:r>
        <w:rPr>
          <w:color w:val="000000"/>
          <w:szCs w:val="21"/>
        </w:rPr>
        <w:t>和</w:t>
      </w:r>
      <w:r>
        <w:rPr>
          <w:color w:val="000000"/>
          <w:szCs w:val="21"/>
        </w:rPr>
        <w:t>DLinear</w:t>
      </w:r>
      <w:r>
        <w:rPr>
          <w:color w:val="000000"/>
          <w:szCs w:val="21"/>
        </w:rPr>
        <w:t>专家，仅将三个尺度权重固定为</w:t>
      </w:r>
      <w:r>
        <w:rPr>
          <w:color w:val="000000"/>
          <w:szCs w:val="21"/>
        </w:rPr>
        <w:t>1/3</w:t>
      </w:r>
      <w:r>
        <w:rPr>
          <w:color w:val="000000"/>
          <w:szCs w:val="21"/>
        </w:rPr>
        <w:t>，用于隔离样本级动态加权的贡献。</w:t>
      </w:r>
    </w:p>
    <w:p w14:paraId="2BE60480" w14:textId="77777777" w:rsidR="00B14FA3" w:rsidRPr="00B14FA3" w:rsidRDefault="00B14FA3" w:rsidP="00B14FA3">
      <w:r>
        <w:rPr>
          <w:color w:val="000000"/>
          <w:szCs w:val="21"/>
        </w:rPr>
        <w:t>采用均方误差（</w:t>
      </w:r>
      <w:r>
        <w:rPr>
          <w:color w:val="000000"/>
          <w:szCs w:val="21"/>
        </w:rPr>
        <w:t>mean squared error</w:t>
      </w:r>
      <w:r>
        <w:rPr>
          <w:color w:val="000000"/>
          <w:szCs w:val="21"/>
        </w:rPr>
        <w:t>，</w:t>
      </w:r>
      <w:r>
        <w:rPr>
          <w:color w:val="000000"/>
          <w:szCs w:val="21"/>
        </w:rPr>
        <w:t>MSE</w:t>
      </w:r>
      <w:r>
        <w:rPr>
          <w:color w:val="000000"/>
          <w:szCs w:val="21"/>
        </w:rPr>
        <w:t>）、平均绝对误差（</w:t>
      </w:r>
      <w:r>
        <w:rPr>
          <w:color w:val="000000"/>
          <w:szCs w:val="21"/>
        </w:rPr>
        <w:t>mean absolute error</w:t>
      </w:r>
      <w:r>
        <w:rPr>
          <w:color w:val="000000"/>
          <w:szCs w:val="21"/>
        </w:rPr>
        <w:t>，</w:t>
      </w:r>
      <w:r>
        <w:rPr>
          <w:color w:val="000000"/>
          <w:szCs w:val="21"/>
        </w:rPr>
        <w:t>MAE</w:t>
      </w:r>
      <w:r>
        <w:rPr>
          <w:color w:val="000000"/>
          <w:szCs w:val="21"/>
        </w:rPr>
        <w:t>）和均方根误差（</w:t>
      </w:r>
      <w:r>
        <w:rPr>
          <w:color w:val="000000"/>
          <w:szCs w:val="21"/>
        </w:rPr>
        <w:t>root mean squared error</w:t>
      </w:r>
      <w:r>
        <w:rPr>
          <w:color w:val="000000"/>
          <w:szCs w:val="21"/>
        </w:rPr>
        <w:t>，</w:t>
      </w:r>
      <w:r>
        <w:rPr>
          <w:color w:val="000000"/>
          <w:szCs w:val="21"/>
        </w:rPr>
        <w:t>RMSE</w:t>
      </w:r>
      <w:r>
        <w:rPr>
          <w:color w:val="000000"/>
          <w:szCs w:val="21"/>
        </w:rPr>
        <w:t>）评价预测性能。</w:t>
      </w:r>
      <w:r>
        <w:rPr>
          <w:color w:val="000000"/>
          <w:szCs w:val="21"/>
        </w:rPr>
        <w:t>MSE</w:t>
      </w:r>
      <w:r>
        <w:rPr>
          <w:color w:val="000000"/>
          <w:szCs w:val="21"/>
        </w:rPr>
        <w:t>按式（</w:t>
      </w:r>
      <w:r>
        <w:rPr>
          <w:color w:val="000000"/>
          <w:szCs w:val="21"/>
        </w:rPr>
        <w:t>14</w:t>
      </w:r>
      <w:r>
        <w:rPr>
          <w:color w:val="000000"/>
          <w:szCs w:val="21"/>
        </w:rPr>
        <w:t>）计算；设测试集包含</w:t>
      </w:r>
      <w:r>
        <w:rPr>
          <w:color w:val="000000"/>
          <w:szCs w:val="21"/>
        </w:rPr>
        <w:t>Nte</w:t>
      </w:r>
      <w:r>
        <w:rPr>
          <w:color w:val="000000"/>
          <w:szCs w:val="21"/>
        </w:rPr>
        <w:t>个窗口，则</w:t>
      </w:r>
      <w:r>
        <w:rPr>
          <w:color w:val="000000"/>
          <w:szCs w:val="21"/>
        </w:rPr>
        <w:t>MAE</w:t>
      </w:r>
      <w:r>
        <w:rPr>
          <w:color w:val="000000"/>
          <w:szCs w:val="21"/>
        </w:rPr>
        <w:t>和</w:t>
      </w:r>
      <w:r>
        <w:rPr>
          <w:color w:val="000000"/>
          <w:szCs w:val="21"/>
        </w:rPr>
        <w:t>RMSE</w:t>
      </w:r>
      <w:r>
        <w:rPr>
          <w:color w:val="000000"/>
          <w:szCs w:val="21"/>
        </w:rPr>
        <w:t>分别为</w:t>
      </w:r>
    </w:p>
    <w:p w14:paraId="32476975"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color w:val="000000"/>
          <w:kern w:val="0"/>
          <w:szCs w:val="20"/>
        </w:rPr>
        <w:tab/>
      </w:r>
      <m:oMath>
        <m:r>
          <m:rPr>
            <m:sty m:val="p"/>
          </m:rPr>
          <w:rPr>
            <w:rFonts w:ascii="Cambria Math" w:eastAsia="Cambria Math" w:hAnsi="Cambria Math"/>
            <w:kern w:val="0"/>
            <w:szCs w:val="20"/>
          </w:rPr>
          <m:t>MAE=</m:t>
        </m:r>
        <m:d>
          <m:dPr>
            <m:ctrlPr>
              <w:rPr>
                <w:rFonts w:ascii="Cambria Math" w:eastAsia="Cambria Math" w:hAnsi="Cambria Math"/>
                <w:i/>
                <w:kern w:val="0"/>
                <w:szCs w:val="20"/>
              </w:rPr>
            </m:ctrlPr>
          </m:dPr>
          <m:e>
            <m:f>
              <m:fPr>
                <m:ctrlPr>
                  <w:rPr>
                    <w:rFonts w:ascii="Cambria Math" w:eastAsia="Cambria Math" w:hAnsi="Cambria Math"/>
                    <w:i/>
                    <w:kern w:val="0"/>
                    <w:szCs w:val="20"/>
                  </w:rPr>
                </m:ctrlPr>
              </m:fPr>
              <m:num>
                <m:r>
                  <w:rPr>
                    <w:rFonts w:ascii="Cambria Math" w:eastAsia="Cambria Math" w:hAnsi="Cambria Math"/>
                    <w:kern w:val="0"/>
                    <w:szCs w:val="20"/>
                  </w:rPr>
                  <m:t>1</m:t>
                </m:r>
              </m:num>
              <m:den>
                <m:sSub>
                  <m:sSubPr>
                    <m:ctrlPr>
                      <w:rPr>
                        <w:rFonts w:ascii="Cambria Math" w:eastAsia="Cambria Math" w:hAnsi="Cambria Math"/>
                        <w:i/>
                        <w:kern w:val="0"/>
                        <w:szCs w:val="20"/>
                      </w:rPr>
                    </m:ctrlPr>
                  </m:sSubPr>
                  <m:e>
                    <m:r>
                      <w:rPr>
                        <w:rFonts w:ascii="Cambria Math" w:eastAsia="Cambria Math" w:hAnsi="Cambria Math"/>
                        <w:kern w:val="0"/>
                        <w:szCs w:val="20"/>
                      </w:rPr>
                      <m:t>N</m:t>
                    </m:r>
                  </m:e>
                  <m:sub>
                    <m:d>
                      <m:dPr>
                        <m:begChr m:val="{"/>
                        <m:endChr m:val="}"/>
                        <m:ctrlPr>
                          <w:rPr>
                            <w:rFonts w:ascii="Cambria Math" w:eastAsia="Cambria Math" w:hAnsi="Cambria Math"/>
                            <w:i/>
                            <w:kern w:val="0"/>
                            <w:szCs w:val="20"/>
                          </w:rPr>
                        </m:ctrlPr>
                      </m:dPr>
                      <m:e>
                        <m:r>
                          <m:rPr>
                            <m:sty m:val="p"/>
                          </m:rPr>
                          <w:rPr>
                            <w:rFonts w:ascii="Cambria Math" w:eastAsia="Cambria Math" w:hAnsi="Cambria Math"/>
                            <w:kern w:val="0"/>
                            <w:szCs w:val="20"/>
                          </w:rPr>
                          <m:t>te</m:t>
                        </m:r>
                      </m:e>
                    </m:d>
                    <m:r>
                      <w:rPr>
                        <w:rFonts w:ascii="Cambria Math" w:eastAsia="Cambria Math" w:hAnsi="Cambria Math"/>
                        <w:kern w:val="0"/>
                        <w:szCs w:val="20"/>
                      </w:rPr>
                      <m:t>HC</m:t>
                    </m:r>
                  </m:sub>
                </m:sSub>
              </m:den>
            </m:f>
          </m:e>
        </m:d>
        <m:sSub>
          <m:sSubPr>
            <m:ctrlPr>
              <w:rPr>
                <w:rFonts w:ascii="Cambria Math" w:eastAsia="Cambria Math" w:hAnsi="Cambria Math"/>
                <w:i/>
                <w:kern w:val="0"/>
                <w:szCs w:val="20"/>
              </w:rPr>
            </m:ctrlPr>
          </m:sSubPr>
          <m:e>
            <m:r>
              <w:rPr>
                <w:rFonts w:ascii="Cambria Math" w:eastAsia="Cambria Math" w:hAnsi="Cambria Math"/>
                <w:kern w:val="0"/>
                <w:szCs w:val="20"/>
              </w:rPr>
              <m:t>Σ</m:t>
            </m:r>
          </m:e>
          <m:sub>
            <m:d>
              <m:dPr>
                <m:begChr m:val="{"/>
                <m:endChr m:val="}"/>
                <m:ctrlPr>
                  <w:rPr>
                    <w:rFonts w:ascii="Cambria Math" w:eastAsia="Cambria Math" w:hAnsi="Cambria Math"/>
                    <w:i/>
                    <w:kern w:val="0"/>
                    <w:szCs w:val="20"/>
                  </w:rPr>
                </m:ctrlPr>
              </m:dPr>
              <m:e>
                <m:r>
                  <w:rPr>
                    <w:rFonts w:ascii="Cambria Math" w:eastAsia="Cambria Math" w:hAnsi="Cambria Math"/>
                    <w:kern w:val="0"/>
                    <w:szCs w:val="20"/>
                  </w:rPr>
                  <m:t>n,h,c</m:t>
                </m:r>
              </m:e>
            </m:d>
            <m:d>
              <m:dPr>
                <m:begChr m:val="|"/>
                <m:endChr m:val="|"/>
                <m:ctrlPr>
                  <w:rPr>
                    <w:rFonts w:ascii="Cambria Math" w:eastAsia="Cambria Math" w:hAnsi="Cambria Math"/>
                    <w:i/>
                    <w:kern w:val="0"/>
                    <w:szCs w:val="20"/>
                  </w:rPr>
                </m:ctrlPr>
              </m:dPr>
              <m:e>
                <m:sSub>
                  <m:sSubPr>
                    <m:ctrlPr>
                      <w:rPr>
                        <w:rFonts w:ascii="Cambria Math" w:eastAsia="Cambria Math" w:hAnsi="Cambria Math"/>
                        <w:i/>
                        <w:kern w:val="0"/>
                        <w:szCs w:val="20"/>
                      </w:rPr>
                    </m:ctrlPr>
                  </m:sSubPr>
                  <m:e>
                    <m:r>
                      <m:rPr>
                        <m:sty m:val="bi"/>
                      </m:rPr>
                      <w:rPr>
                        <w:rFonts w:ascii="Cambria Math" w:eastAsia="Cambria Math" w:hAnsi="Cambria Math"/>
                        <w:kern w:val="0"/>
                        <w:szCs w:val="20"/>
                      </w:rPr>
                      <m:t>Y</m:t>
                    </m:r>
                  </m:e>
                  <m:sub>
                    <m:d>
                      <m:dPr>
                        <m:begChr m:val="{"/>
                        <m:endChr m:val="}"/>
                        <m:ctrlPr>
                          <w:rPr>
                            <w:rFonts w:ascii="Cambria Math" w:eastAsia="Cambria Math" w:hAnsi="Cambria Math"/>
                            <w:i/>
                            <w:kern w:val="0"/>
                            <w:szCs w:val="20"/>
                          </w:rPr>
                        </m:ctrlPr>
                      </m:dPr>
                      <m:e>
                        <m:r>
                          <w:rPr>
                            <w:rFonts w:ascii="Cambria Math" w:eastAsia="Cambria Math" w:hAnsi="Cambria Math"/>
                            <w:kern w:val="0"/>
                            <w:szCs w:val="20"/>
                          </w:rPr>
                          <m:t>n,h,c</m:t>
                        </m:r>
                      </m:e>
                    </m:d>
                  </m:sub>
                </m:sSub>
                <m:r>
                  <w:rPr>
                    <w:rFonts w:ascii="Cambria Math" w:eastAsia="Cambria Math" w:hAnsi="Cambria Math"/>
                    <w:kern w:val="0"/>
                    <w:szCs w:val="20"/>
                  </w:rPr>
                  <m:t>-</m:t>
                </m:r>
                <m:sSub>
                  <m:sSubPr>
                    <m:ctrlPr>
                      <w:rPr>
                        <w:rFonts w:ascii="Cambria Math" w:eastAsia="Cambria Math" w:hAnsi="Cambria Math"/>
                        <w:i/>
                        <w:kern w:val="0"/>
                        <w:szCs w:val="20"/>
                      </w:rPr>
                    </m:ctrlPr>
                  </m:sSubPr>
                  <m:e>
                    <m:r>
                      <m:rPr>
                        <m:sty m:val="bi"/>
                      </m:rPr>
                      <w:rPr>
                        <w:rFonts w:ascii="Cambria Math" w:eastAsia="Cambria Math" w:hAnsi="Cambria Math"/>
                        <w:kern w:val="0"/>
                        <w:szCs w:val="20"/>
                      </w:rPr>
                      <m:t>Ŷ</m:t>
                    </m:r>
                  </m:e>
                  <m:sub>
                    <m:d>
                      <m:dPr>
                        <m:begChr m:val="{"/>
                        <m:endChr m:val="}"/>
                        <m:ctrlPr>
                          <w:rPr>
                            <w:rFonts w:ascii="Cambria Math" w:eastAsia="Cambria Math" w:hAnsi="Cambria Math"/>
                            <w:i/>
                            <w:kern w:val="0"/>
                            <w:szCs w:val="20"/>
                          </w:rPr>
                        </m:ctrlPr>
                      </m:dPr>
                      <m:e>
                        <m:r>
                          <w:rPr>
                            <w:rFonts w:ascii="Cambria Math" w:eastAsia="Cambria Math" w:hAnsi="Cambria Math"/>
                            <w:kern w:val="0"/>
                            <w:szCs w:val="20"/>
                          </w:rPr>
                          <m:t>n,h,c</m:t>
                        </m:r>
                      </m:e>
                    </m:d>
                  </m:sub>
                </m:sSub>
              </m:e>
            </m:d>
          </m:sub>
        </m:sSub>
        <m:r>
          <w:rPr>
            <w:rFonts w:ascii="Cambria Math" w:eastAsia="Cambria Math" w:hAnsi="Cambria Math"/>
            <w:kern w:val="0"/>
            <w:szCs w:val="20"/>
          </w:rPr>
          <m:t>,</m:t>
        </m:r>
      </m:oMath>
      <w:r w:rsidRPr="00B14FA3">
        <w:rPr>
          <w:color w:val="000000"/>
          <w:kern w:val="0"/>
          <w:szCs w:val="20"/>
        </w:rPr>
        <w:tab/>
        <w:t>(15)</w:t>
      </w:r>
    </w:p>
    <w:p w14:paraId="78A587DD"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color w:val="000000"/>
          <w:kern w:val="0"/>
          <w:szCs w:val="20"/>
        </w:rPr>
        <w:tab/>
      </w:r>
      <m:oMath>
        <m:r>
          <m:rPr>
            <m:sty m:val="p"/>
          </m:rPr>
          <w:rPr>
            <w:rFonts w:ascii="Cambria Math" w:eastAsia="Cambria Math" w:hAnsi="Cambria Math"/>
            <w:kern w:val="0"/>
            <w:szCs w:val="20"/>
          </w:rPr>
          <m:t>RMSE=</m:t>
        </m:r>
        <m:rad>
          <m:radPr>
            <m:degHide m:val="1"/>
            <m:ctrlPr>
              <w:rPr>
                <w:rFonts w:ascii="Cambria Math" w:eastAsia="Cambria Math" w:hAnsi="Cambria Math"/>
                <w:i/>
                <w:kern w:val="0"/>
                <w:szCs w:val="20"/>
              </w:rPr>
            </m:ctrlPr>
          </m:radPr>
          <m:deg/>
          <m:e>
            <m:r>
              <m:rPr>
                <m:sty m:val="p"/>
              </m:rPr>
              <w:rPr>
                <w:rFonts w:ascii="Cambria Math" w:eastAsia="Cambria Math" w:hAnsi="Cambria Math"/>
                <w:kern w:val="0"/>
                <w:szCs w:val="20"/>
              </w:rPr>
              <m:t>MSE</m:t>
            </m:r>
          </m:e>
        </m:rad>
        <m:r>
          <w:rPr>
            <w:rFonts w:ascii="Cambria Math" w:eastAsia="Cambria Math" w:hAnsi="Cambria Math"/>
            <w:kern w:val="0"/>
            <w:szCs w:val="20"/>
          </w:rPr>
          <m:t>.</m:t>
        </m:r>
      </m:oMath>
      <w:r w:rsidRPr="00B14FA3">
        <w:rPr>
          <w:color w:val="000000"/>
          <w:kern w:val="0"/>
          <w:szCs w:val="20"/>
        </w:rPr>
        <w:tab/>
        <w:t>(16)</w:t>
      </w:r>
    </w:p>
    <w:p w14:paraId="015A2BBD" w14:textId="77777777" w:rsidR="00B14FA3" w:rsidRPr="00B14FA3" w:rsidRDefault="00B14FA3" w:rsidP="00B14FA3">
      <w:r>
        <w:rPr>
          <w:color w:val="000000"/>
          <w:szCs w:val="21"/>
        </w:rPr>
        <w:t>上述指标均在标准化空间中计算，数值越小表示预测误差越低。由于</w:t>
      </w:r>
      <w:r>
        <w:rPr>
          <w:color w:val="000000"/>
          <w:szCs w:val="21"/>
        </w:rPr>
        <w:t>RMSE</w:t>
      </w:r>
      <w:r>
        <w:rPr>
          <w:color w:val="000000"/>
          <w:szCs w:val="21"/>
        </w:rPr>
        <w:t>是</w:t>
      </w:r>
      <w:r>
        <w:rPr>
          <w:color w:val="000000"/>
          <w:szCs w:val="21"/>
        </w:rPr>
        <w:t>MSE</w:t>
      </w:r>
      <w:r>
        <w:rPr>
          <w:color w:val="000000"/>
          <w:szCs w:val="21"/>
        </w:rPr>
        <w:t>的单调变换，正文表格主要报告</w:t>
      </w:r>
      <w:r>
        <w:rPr>
          <w:color w:val="000000"/>
          <w:szCs w:val="21"/>
        </w:rPr>
        <w:t>MSE</w:t>
      </w:r>
      <w:r>
        <w:rPr>
          <w:color w:val="000000"/>
          <w:szCs w:val="21"/>
        </w:rPr>
        <w:t>和</w:t>
      </w:r>
      <w:r>
        <w:rPr>
          <w:color w:val="000000"/>
          <w:szCs w:val="21"/>
        </w:rPr>
        <w:t>MAE</w:t>
      </w:r>
      <w:r>
        <w:rPr>
          <w:color w:val="000000"/>
          <w:szCs w:val="21"/>
        </w:rPr>
        <w:t>。外部基线比较以</w:t>
      </w:r>
      <w:r>
        <w:rPr>
          <w:color w:val="000000"/>
          <w:szCs w:val="21"/>
        </w:rPr>
        <w:t>3</w:t>
      </w:r>
      <w:r>
        <w:rPr>
          <w:color w:val="000000"/>
          <w:szCs w:val="21"/>
        </w:rPr>
        <w:t>个共同随机种子的均值</w:t>
      </w:r>
      <w:r>
        <w:rPr>
          <w:color w:val="000000"/>
          <w:szCs w:val="21"/>
        </w:rPr>
        <w:t>±</w:t>
      </w:r>
      <w:r>
        <w:rPr>
          <w:color w:val="000000"/>
          <w:szCs w:val="21"/>
        </w:rPr>
        <w:t>样本标准差表示；核心机制分析以</w:t>
      </w:r>
      <w:r>
        <w:rPr>
          <w:color w:val="000000"/>
          <w:szCs w:val="21"/>
        </w:rPr>
        <w:t>8</w:t>
      </w:r>
      <w:r>
        <w:rPr>
          <w:color w:val="000000"/>
          <w:szCs w:val="21"/>
        </w:rPr>
        <w:t>个随机种子的均值</w:t>
      </w:r>
      <w:r>
        <w:rPr>
          <w:color w:val="000000"/>
          <w:szCs w:val="21"/>
        </w:rPr>
        <w:t>±</w:t>
      </w:r>
      <w:r>
        <w:rPr>
          <w:color w:val="000000"/>
          <w:szCs w:val="21"/>
        </w:rPr>
        <w:t>样本标准差表示，并对相同随机种子下的模型结果进行双侧配对</w:t>
      </w:r>
      <w:r>
        <w:rPr>
          <w:color w:val="000000"/>
          <w:szCs w:val="21"/>
        </w:rPr>
        <w:t>t</w:t>
      </w:r>
      <w:r>
        <w:rPr>
          <w:color w:val="000000"/>
          <w:szCs w:val="21"/>
        </w:rPr>
        <w:t>检验和</w:t>
      </w:r>
      <w:r>
        <w:rPr>
          <w:color w:val="000000"/>
          <w:szCs w:val="21"/>
        </w:rPr>
        <w:t>95%</w:t>
      </w:r>
      <w:r>
        <w:rPr>
          <w:color w:val="000000"/>
          <w:szCs w:val="21"/>
        </w:rPr>
        <w:t>置信区间分析。测试窗口仅用于计算误差，不作为独立统计重复。</w:t>
      </w:r>
    </w:p>
    <w:p w14:paraId="7B4CAE46"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 xml:space="preserve">2.3 </w:t>
      </w:r>
      <w:r>
        <w:rPr>
          <w:rFonts w:ascii="Arial" w:eastAsia="黑体" w:hAnsi="Arial"/>
          <w:b/>
          <w:bCs/>
          <w:color w:val="000000"/>
          <w:szCs w:val="21"/>
        </w:rPr>
        <w:t>两数据集外部基线比较</w:t>
      </w:r>
    </w:p>
    <w:p w14:paraId="47C6B19C" w14:textId="77777777" w:rsidR="00B14FA3" w:rsidRPr="00B14FA3" w:rsidRDefault="00B14FA3" w:rsidP="00B14FA3">
      <w:r>
        <w:rPr>
          <w:color w:val="000000"/>
          <w:szCs w:val="21"/>
        </w:rPr>
        <w:t>为保证外部模型比较的重复次数一致，表</w:t>
      </w:r>
      <w:r>
        <w:rPr>
          <w:color w:val="000000"/>
          <w:szCs w:val="21"/>
        </w:rPr>
        <w:t>2</w:t>
      </w:r>
      <w:r>
        <w:rPr>
          <w:color w:val="000000"/>
          <w:szCs w:val="21"/>
        </w:rPr>
        <w:t>仅统计随机种子</w:t>
      </w:r>
      <w:r>
        <w:rPr>
          <w:color w:val="000000"/>
          <w:szCs w:val="21"/>
        </w:rPr>
        <w:t>42</w:t>
      </w:r>
      <w:r>
        <w:rPr>
          <w:color w:val="000000"/>
          <w:szCs w:val="21"/>
        </w:rPr>
        <w:t>、</w:t>
      </w:r>
      <w:r>
        <w:rPr>
          <w:color w:val="000000"/>
          <w:szCs w:val="21"/>
        </w:rPr>
        <w:t>43</w:t>
      </w:r>
      <w:r>
        <w:rPr>
          <w:color w:val="000000"/>
          <w:szCs w:val="21"/>
        </w:rPr>
        <w:t>和</w:t>
      </w:r>
      <w:r>
        <w:rPr>
          <w:color w:val="000000"/>
          <w:szCs w:val="21"/>
        </w:rPr>
        <w:t>44</w:t>
      </w:r>
      <w:r>
        <w:rPr>
          <w:color w:val="000000"/>
          <w:szCs w:val="21"/>
        </w:rPr>
        <w:t>。在</w:t>
      </w:r>
      <w:r>
        <w:rPr>
          <w:color w:val="000000"/>
          <w:szCs w:val="21"/>
        </w:rPr>
        <w:t>Abilene</w:t>
      </w:r>
      <w:r>
        <w:rPr>
          <w:color w:val="000000"/>
          <w:szCs w:val="21"/>
        </w:rPr>
        <w:t>上，本文方法的</w:t>
      </w:r>
      <w:r>
        <w:rPr>
          <w:color w:val="000000"/>
          <w:szCs w:val="21"/>
        </w:rPr>
        <w:t>MSE</w:t>
      </w:r>
      <w:r>
        <w:rPr>
          <w:color w:val="000000"/>
          <w:szCs w:val="21"/>
        </w:rPr>
        <w:t>和</w:t>
      </w:r>
      <w:r>
        <w:rPr>
          <w:color w:val="000000"/>
          <w:szCs w:val="21"/>
        </w:rPr>
        <w:t>MAE</w:t>
      </w:r>
      <w:r>
        <w:rPr>
          <w:color w:val="000000"/>
          <w:szCs w:val="21"/>
        </w:rPr>
        <w:t>分别为</w:t>
      </w:r>
      <w:r>
        <w:rPr>
          <w:color w:val="000000"/>
          <w:szCs w:val="21"/>
        </w:rPr>
        <w:t>0.186±0.002</w:t>
      </w:r>
      <w:r>
        <w:rPr>
          <w:color w:val="000000"/>
          <w:szCs w:val="21"/>
        </w:rPr>
        <w:t>和</w:t>
      </w:r>
      <w:r>
        <w:rPr>
          <w:color w:val="000000"/>
          <w:szCs w:val="21"/>
        </w:rPr>
        <w:t>0.168±0.001</w:t>
      </w:r>
      <w:r>
        <w:rPr>
          <w:color w:val="000000"/>
          <w:szCs w:val="21"/>
        </w:rPr>
        <w:t>，相较</w:t>
      </w:r>
      <w:r>
        <w:rPr>
          <w:color w:val="000000"/>
          <w:szCs w:val="21"/>
        </w:rPr>
        <w:t>DLinear</w:t>
      </w:r>
      <w:r>
        <w:rPr>
          <w:color w:val="000000"/>
          <w:szCs w:val="21"/>
        </w:rPr>
        <w:t>分别降低</w:t>
      </w:r>
      <w:r>
        <w:rPr>
          <w:color w:val="000000"/>
          <w:szCs w:val="21"/>
        </w:rPr>
        <w:t>4.06%</w:t>
      </w:r>
      <w:r>
        <w:rPr>
          <w:color w:val="000000"/>
          <w:szCs w:val="21"/>
        </w:rPr>
        <w:t>和</w:t>
      </w:r>
      <w:r>
        <w:rPr>
          <w:color w:val="000000"/>
          <w:szCs w:val="21"/>
        </w:rPr>
        <w:t>10.52%</w:t>
      </w:r>
      <w:r>
        <w:rPr>
          <w:color w:val="000000"/>
          <w:szCs w:val="21"/>
        </w:rPr>
        <w:t>，相较</w:t>
      </w:r>
      <w:r>
        <w:rPr>
          <w:color w:val="000000"/>
          <w:szCs w:val="21"/>
        </w:rPr>
        <w:t>LightTS</w:t>
      </w:r>
      <w:r>
        <w:rPr>
          <w:color w:val="000000"/>
          <w:szCs w:val="21"/>
        </w:rPr>
        <w:t>分别降低</w:t>
      </w:r>
      <w:r>
        <w:rPr>
          <w:color w:val="000000"/>
          <w:szCs w:val="21"/>
        </w:rPr>
        <w:t>29.89%</w:t>
      </w:r>
      <w:r>
        <w:rPr>
          <w:color w:val="000000"/>
          <w:szCs w:val="21"/>
        </w:rPr>
        <w:t>和</w:t>
      </w:r>
      <w:r>
        <w:rPr>
          <w:color w:val="000000"/>
          <w:szCs w:val="21"/>
        </w:rPr>
        <w:t>17.65%</w:t>
      </w:r>
      <w:r>
        <w:rPr>
          <w:color w:val="000000"/>
          <w:szCs w:val="21"/>
        </w:rPr>
        <w:t>。在</w:t>
      </w:r>
      <w:r>
        <w:rPr>
          <w:color w:val="000000"/>
          <w:szCs w:val="21"/>
        </w:rPr>
        <w:t>GÉANT</w:t>
      </w:r>
      <w:r>
        <w:rPr>
          <w:color w:val="000000"/>
          <w:szCs w:val="21"/>
        </w:rPr>
        <w:t>上，本文方法的</w:t>
      </w:r>
      <w:r>
        <w:rPr>
          <w:color w:val="000000"/>
          <w:szCs w:val="21"/>
        </w:rPr>
        <w:t>MSE</w:t>
      </w:r>
      <w:r>
        <w:rPr>
          <w:color w:val="000000"/>
          <w:szCs w:val="21"/>
        </w:rPr>
        <w:t>和</w:t>
      </w:r>
      <w:r>
        <w:rPr>
          <w:color w:val="000000"/>
          <w:szCs w:val="21"/>
        </w:rPr>
        <w:t>MAE</w:t>
      </w:r>
      <w:r>
        <w:rPr>
          <w:color w:val="000000"/>
          <w:szCs w:val="21"/>
        </w:rPr>
        <w:t>分别为</w:t>
      </w:r>
      <w:r>
        <w:rPr>
          <w:color w:val="000000"/>
          <w:szCs w:val="21"/>
        </w:rPr>
        <w:t>0.434±0.051</w:t>
      </w:r>
      <w:r>
        <w:rPr>
          <w:color w:val="000000"/>
          <w:szCs w:val="21"/>
        </w:rPr>
        <w:t>和</w:t>
      </w:r>
      <w:r>
        <w:rPr>
          <w:color w:val="000000"/>
          <w:szCs w:val="21"/>
        </w:rPr>
        <w:t>0.370±0.031</w:t>
      </w:r>
      <w:r>
        <w:rPr>
          <w:color w:val="000000"/>
          <w:szCs w:val="21"/>
        </w:rPr>
        <w:t>，相较</w:t>
      </w:r>
      <w:r>
        <w:rPr>
          <w:color w:val="000000"/>
          <w:szCs w:val="21"/>
        </w:rPr>
        <w:t>DLinear</w:t>
      </w:r>
      <w:r>
        <w:rPr>
          <w:color w:val="000000"/>
          <w:szCs w:val="21"/>
        </w:rPr>
        <w:t>分别降低</w:t>
      </w:r>
      <w:r>
        <w:rPr>
          <w:color w:val="000000"/>
          <w:szCs w:val="21"/>
        </w:rPr>
        <w:t>4.43%</w:t>
      </w:r>
      <w:r>
        <w:rPr>
          <w:color w:val="000000"/>
          <w:szCs w:val="21"/>
        </w:rPr>
        <w:t>和</w:t>
      </w:r>
      <w:r>
        <w:rPr>
          <w:color w:val="000000"/>
          <w:szCs w:val="21"/>
        </w:rPr>
        <w:t>3.46%</w:t>
      </w:r>
      <w:r>
        <w:rPr>
          <w:color w:val="000000"/>
          <w:szCs w:val="21"/>
        </w:rPr>
        <w:t>，相较</w:t>
      </w:r>
      <w:r>
        <w:rPr>
          <w:color w:val="000000"/>
          <w:szCs w:val="21"/>
        </w:rPr>
        <w:t>LightTS</w:t>
      </w:r>
      <w:r>
        <w:rPr>
          <w:color w:val="000000"/>
          <w:szCs w:val="21"/>
        </w:rPr>
        <w:t>分别降低</w:t>
      </w:r>
      <w:r>
        <w:rPr>
          <w:color w:val="000000"/>
          <w:szCs w:val="21"/>
        </w:rPr>
        <w:t>46.83%</w:t>
      </w:r>
      <w:r>
        <w:rPr>
          <w:color w:val="000000"/>
          <w:szCs w:val="21"/>
        </w:rPr>
        <w:t>和</w:t>
      </w:r>
      <w:r>
        <w:rPr>
          <w:color w:val="000000"/>
          <w:szCs w:val="21"/>
        </w:rPr>
        <w:t>29.29%</w:t>
      </w:r>
      <w:r>
        <w:rPr>
          <w:color w:val="000000"/>
          <w:szCs w:val="21"/>
        </w:rPr>
        <w:t>。</w:t>
      </w:r>
    </w:p>
    <w:p w14:paraId="2C988E8E" w14:textId="77777777" w:rsidR="00B14FA3" w:rsidRPr="00B14FA3" w:rsidRDefault="00B14FA3" w:rsidP="00B14FA3">
      <w:pPr>
        <w:keepNext/>
        <w:spacing w:before="60" w:after="40"/>
        <w:ind w:firstLine="0"/>
        <w:jc w:val="center"/>
      </w:pPr>
      <w:r>
        <w:rPr>
          <w:rFonts w:eastAsia="黑体"/>
          <w:b/>
          <w:color w:val="000000"/>
          <w:sz w:val="18"/>
        </w:rPr>
        <w:t>表</w:t>
      </w:r>
      <w:r>
        <w:rPr>
          <w:rFonts w:eastAsia="黑体"/>
          <w:b/>
          <w:color w:val="000000"/>
          <w:sz w:val="18"/>
        </w:rPr>
        <w:t xml:space="preserve">2 </w:t>
      </w:r>
      <w:r>
        <w:rPr>
          <w:rFonts w:eastAsia="黑体"/>
          <w:b/>
          <w:color w:val="000000"/>
          <w:sz w:val="18"/>
        </w:rPr>
        <w:t>三随机种子外部基线比较</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300"/>
        <w:gridCol w:w="2500"/>
        <w:gridCol w:w="1200"/>
        <w:gridCol w:w="2000"/>
        <w:gridCol w:w="2000"/>
      </w:tblGrid>
      <w:tr w:rsidR="00B10182" w14:paraId="74CC92C2" w14:textId="77777777">
        <w:trPr>
          <w:cantSplit/>
          <w:tblHeader/>
          <w:jc w:val="center"/>
        </w:trPr>
        <w:tc>
          <w:tcPr>
            <w:tcW w:w="1300" w:type="dxa"/>
            <w:tcBorders>
              <w:bottom w:val="single" w:sz="8" w:space="0" w:color="000000"/>
            </w:tcBorders>
            <w:tcMar>
              <w:top w:w="55" w:type="dxa"/>
              <w:left w:w="70" w:type="dxa"/>
              <w:bottom w:w="55" w:type="dxa"/>
              <w:right w:w="70" w:type="dxa"/>
            </w:tcMar>
            <w:vAlign w:val="center"/>
            <w:hideMark/>
          </w:tcPr>
          <w:p w14:paraId="73A1B21A" w14:textId="77777777" w:rsidR="00B14FA3" w:rsidRPr="00B14FA3" w:rsidRDefault="00B14FA3" w:rsidP="00B14FA3">
            <w:pPr>
              <w:keepNext/>
              <w:ind w:firstLine="0"/>
              <w:jc w:val="center"/>
            </w:pPr>
            <w:r>
              <w:rPr>
                <w:b/>
                <w:color w:val="000000"/>
                <w:szCs w:val="21"/>
              </w:rPr>
              <w:t>数据集</w:t>
            </w:r>
          </w:p>
        </w:tc>
        <w:tc>
          <w:tcPr>
            <w:tcW w:w="2500" w:type="dxa"/>
            <w:tcBorders>
              <w:bottom w:val="single" w:sz="8" w:space="0" w:color="000000"/>
            </w:tcBorders>
            <w:tcMar>
              <w:top w:w="55" w:type="dxa"/>
              <w:left w:w="70" w:type="dxa"/>
              <w:bottom w:w="55" w:type="dxa"/>
              <w:right w:w="70" w:type="dxa"/>
            </w:tcMar>
            <w:vAlign w:val="center"/>
            <w:hideMark/>
          </w:tcPr>
          <w:p w14:paraId="1D3A8B74" w14:textId="77777777" w:rsidR="00B14FA3" w:rsidRPr="00B14FA3" w:rsidRDefault="00B14FA3" w:rsidP="00B14FA3">
            <w:pPr>
              <w:keepNext/>
              <w:ind w:firstLine="0"/>
              <w:jc w:val="center"/>
            </w:pPr>
            <w:r>
              <w:rPr>
                <w:b/>
                <w:color w:val="000000"/>
                <w:szCs w:val="21"/>
              </w:rPr>
              <w:t>模型</w:t>
            </w:r>
          </w:p>
        </w:tc>
        <w:tc>
          <w:tcPr>
            <w:tcW w:w="1200" w:type="dxa"/>
            <w:tcBorders>
              <w:bottom w:val="single" w:sz="8" w:space="0" w:color="000000"/>
            </w:tcBorders>
            <w:tcMar>
              <w:top w:w="55" w:type="dxa"/>
              <w:left w:w="70" w:type="dxa"/>
              <w:bottom w:w="55" w:type="dxa"/>
              <w:right w:w="70" w:type="dxa"/>
            </w:tcMar>
            <w:vAlign w:val="center"/>
            <w:hideMark/>
          </w:tcPr>
          <w:p w14:paraId="6A04AC4B" w14:textId="77777777" w:rsidR="00B14FA3" w:rsidRPr="00B14FA3" w:rsidRDefault="00B14FA3" w:rsidP="00B14FA3">
            <w:pPr>
              <w:keepNext/>
              <w:ind w:firstLine="0"/>
              <w:jc w:val="center"/>
            </w:pPr>
            <w:r>
              <w:rPr>
                <w:b/>
                <w:color w:val="000000"/>
                <w:szCs w:val="21"/>
              </w:rPr>
              <w:t>参数量</w:t>
            </w:r>
          </w:p>
        </w:tc>
        <w:tc>
          <w:tcPr>
            <w:tcW w:w="2000" w:type="dxa"/>
            <w:tcBorders>
              <w:bottom w:val="single" w:sz="8" w:space="0" w:color="000000"/>
            </w:tcBorders>
            <w:tcMar>
              <w:top w:w="55" w:type="dxa"/>
              <w:left w:w="70" w:type="dxa"/>
              <w:bottom w:w="55" w:type="dxa"/>
              <w:right w:w="70" w:type="dxa"/>
            </w:tcMar>
            <w:vAlign w:val="center"/>
            <w:hideMark/>
          </w:tcPr>
          <w:p w14:paraId="50529A34" w14:textId="77777777" w:rsidR="00B14FA3" w:rsidRPr="00B14FA3" w:rsidRDefault="00B14FA3" w:rsidP="00B14FA3">
            <w:pPr>
              <w:keepNext/>
              <w:ind w:firstLine="0"/>
              <w:jc w:val="center"/>
            </w:pPr>
            <w:r>
              <w:rPr>
                <w:b/>
                <w:color w:val="000000"/>
                <w:szCs w:val="21"/>
              </w:rPr>
              <w:t>MSE</w:t>
            </w:r>
          </w:p>
        </w:tc>
        <w:tc>
          <w:tcPr>
            <w:tcW w:w="2000" w:type="dxa"/>
            <w:tcBorders>
              <w:bottom w:val="single" w:sz="8" w:space="0" w:color="000000"/>
            </w:tcBorders>
            <w:tcMar>
              <w:top w:w="55" w:type="dxa"/>
              <w:left w:w="70" w:type="dxa"/>
              <w:bottom w:w="55" w:type="dxa"/>
              <w:right w:w="70" w:type="dxa"/>
            </w:tcMar>
            <w:vAlign w:val="center"/>
            <w:hideMark/>
          </w:tcPr>
          <w:p w14:paraId="0BF29862" w14:textId="77777777" w:rsidR="00B14FA3" w:rsidRPr="00B14FA3" w:rsidRDefault="00B14FA3" w:rsidP="00B14FA3">
            <w:pPr>
              <w:keepNext/>
              <w:ind w:firstLine="0"/>
              <w:jc w:val="center"/>
            </w:pPr>
            <w:r>
              <w:rPr>
                <w:b/>
                <w:color w:val="000000"/>
                <w:szCs w:val="21"/>
              </w:rPr>
              <w:t>MAE</w:t>
            </w:r>
          </w:p>
        </w:tc>
      </w:tr>
      <w:tr w:rsidR="00B10182" w14:paraId="7BD3F36B"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67270E4A"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605C29C9" w14:textId="77777777" w:rsidR="00B14FA3" w:rsidRPr="00B14FA3" w:rsidRDefault="00B14FA3" w:rsidP="00B14FA3">
            <w:pPr>
              <w:keepNext/>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4ABBFC5B" w14:textId="77777777" w:rsidR="00B14FA3" w:rsidRPr="00B14FA3" w:rsidRDefault="00B14FA3" w:rsidP="00B14FA3">
            <w:pPr>
              <w:keepNext/>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28CCFDF6" w14:textId="77777777" w:rsidR="00B14FA3" w:rsidRPr="00B14FA3" w:rsidRDefault="00B14FA3" w:rsidP="00B14FA3">
            <w:pPr>
              <w:keepNext/>
              <w:ind w:firstLine="0"/>
              <w:jc w:val="left"/>
            </w:pPr>
            <w:r>
              <w:rPr>
                <w:color w:val="000000"/>
                <w:szCs w:val="21"/>
              </w:rPr>
              <w:t>0.194±0.002</w:t>
            </w:r>
          </w:p>
        </w:tc>
        <w:tc>
          <w:tcPr>
            <w:tcW w:w="2000" w:type="dxa"/>
            <w:tcBorders>
              <w:top w:val="nil"/>
              <w:left w:val="nil"/>
              <w:bottom w:val="nil"/>
              <w:right w:val="nil"/>
            </w:tcBorders>
            <w:tcMar>
              <w:top w:w="55" w:type="dxa"/>
              <w:left w:w="70" w:type="dxa"/>
              <w:bottom w:w="55" w:type="dxa"/>
              <w:right w:w="70" w:type="dxa"/>
            </w:tcMar>
            <w:vAlign w:val="center"/>
            <w:hideMark/>
          </w:tcPr>
          <w:p w14:paraId="5B37841B" w14:textId="77777777" w:rsidR="00B14FA3" w:rsidRPr="00B14FA3" w:rsidRDefault="00B14FA3" w:rsidP="00B14FA3">
            <w:pPr>
              <w:keepNext/>
              <w:ind w:firstLine="0"/>
              <w:jc w:val="left"/>
            </w:pPr>
            <w:r>
              <w:rPr>
                <w:color w:val="000000"/>
                <w:szCs w:val="21"/>
              </w:rPr>
              <w:t>0.188±0.009</w:t>
            </w:r>
          </w:p>
        </w:tc>
      </w:tr>
      <w:tr w:rsidR="00B10182" w14:paraId="30BC0D54"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0D2E5A7E"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465248BF" w14:textId="77777777" w:rsidR="00B14FA3" w:rsidRPr="00B14FA3" w:rsidRDefault="00B14FA3" w:rsidP="00B14FA3">
            <w:pPr>
              <w:keepNext/>
              <w:ind w:firstLine="0"/>
              <w:jc w:val="left"/>
            </w:pPr>
            <w:r>
              <w:rPr>
                <w:color w:val="000000"/>
                <w:szCs w:val="21"/>
              </w:rPr>
              <w:t>LightTS</w:t>
            </w:r>
          </w:p>
        </w:tc>
        <w:tc>
          <w:tcPr>
            <w:tcW w:w="1200" w:type="dxa"/>
            <w:tcBorders>
              <w:top w:val="nil"/>
              <w:left w:val="nil"/>
              <w:bottom w:val="nil"/>
              <w:right w:val="nil"/>
            </w:tcBorders>
            <w:tcMar>
              <w:top w:w="55" w:type="dxa"/>
              <w:left w:w="70" w:type="dxa"/>
              <w:bottom w:w="55" w:type="dxa"/>
              <w:right w:w="70" w:type="dxa"/>
            </w:tcMar>
            <w:vAlign w:val="center"/>
            <w:hideMark/>
          </w:tcPr>
          <w:p w14:paraId="5DBDB155" w14:textId="77777777" w:rsidR="00B14FA3" w:rsidRPr="00B14FA3" w:rsidRDefault="00B14FA3" w:rsidP="00B14FA3">
            <w:pPr>
              <w:keepNext/>
              <w:ind w:firstLine="0"/>
              <w:jc w:val="left"/>
            </w:pPr>
            <w:r>
              <w:rPr>
                <w:color w:val="000000"/>
                <w:szCs w:val="21"/>
              </w:rPr>
              <w:t>130162</w:t>
            </w:r>
          </w:p>
        </w:tc>
        <w:tc>
          <w:tcPr>
            <w:tcW w:w="2000" w:type="dxa"/>
            <w:tcBorders>
              <w:top w:val="nil"/>
              <w:left w:val="nil"/>
              <w:bottom w:val="nil"/>
              <w:right w:val="nil"/>
            </w:tcBorders>
            <w:tcMar>
              <w:top w:w="55" w:type="dxa"/>
              <w:left w:w="70" w:type="dxa"/>
              <w:bottom w:w="55" w:type="dxa"/>
              <w:right w:w="70" w:type="dxa"/>
            </w:tcMar>
            <w:vAlign w:val="center"/>
            <w:hideMark/>
          </w:tcPr>
          <w:p w14:paraId="514903F0" w14:textId="77777777" w:rsidR="00B14FA3" w:rsidRPr="00B14FA3" w:rsidRDefault="00B14FA3" w:rsidP="00B14FA3">
            <w:pPr>
              <w:keepNext/>
              <w:ind w:firstLine="0"/>
              <w:jc w:val="left"/>
            </w:pPr>
            <w:r>
              <w:rPr>
                <w:color w:val="000000"/>
                <w:szCs w:val="21"/>
              </w:rPr>
              <w:t>0.265±0.011</w:t>
            </w:r>
          </w:p>
        </w:tc>
        <w:tc>
          <w:tcPr>
            <w:tcW w:w="2000" w:type="dxa"/>
            <w:tcBorders>
              <w:top w:val="nil"/>
              <w:left w:val="nil"/>
              <w:bottom w:val="nil"/>
              <w:right w:val="nil"/>
            </w:tcBorders>
            <w:tcMar>
              <w:top w:w="55" w:type="dxa"/>
              <w:left w:w="70" w:type="dxa"/>
              <w:bottom w:w="55" w:type="dxa"/>
              <w:right w:w="70" w:type="dxa"/>
            </w:tcMar>
            <w:vAlign w:val="center"/>
            <w:hideMark/>
          </w:tcPr>
          <w:p w14:paraId="7928E3E7" w14:textId="77777777" w:rsidR="00B14FA3" w:rsidRPr="00B14FA3" w:rsidRDefault="00B14FA3" w:rsidP="00B14FA3">
            <w:pPr>
              <w:keepNext/>
              <w:ind w:firstLine="0"/>
              <w:jc w:val="left"/>
            </w:pPr>
            <w:r>
              <w:rPr>
                <w:color w:val="000000"/>
                <w:szCs w:val="21"/>
              </w:rPr>
              <w:t>0.204±0.008</w:t>
            </w:r>
          </w:p>
        </w:tc>
      </w:tr>
      <w:tr w:rsidR="00B10182" w14:paraId="346D7B1E"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9582576"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05A1E076" w14:textId="77777777" w:rsidR="00B14FA3" w:rsidRPr="00B14FA3" w:rsidRDefault="00B14FA3" w:rsidP="00B14FA3">
            <w:pPr>
              <w:keepNext/>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2E2CB203"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03B5D7D6" w14:textId="77777777" w:rsidR="00B14FA3" w:rsidRPr="00B14FA3" w:rsidRDefault="00B14FA3" w:rsidP="00B14FA3">
            <w:pPr>
              <w:keepNext/>
              <w:ind w:firstLine="0"/>
              <w:jc w:val="left"/>
            </w:pPr>
            <w:r>
              <w:rPr>
                <w:color w:val="000000"/>
                <w:szCs w:val="21"/>
              </w:rPr>
              <w:t>0.186±0.002</w:t>
            </w:r>
          </w:p>
        </w:tc>
        <w:tc>
          <w:tcPr>
            <w:tcW w:w="2000" w:type="dxa"/>
            <w:tcBorders>
              <w:top w:val="nil"/>
              <w:left w:val="nil"/>
              <w:bottom w:val="nil"/>
              <w:right w:val="nil"/>
            </w:tcBorders>
            <w:tcMar>
              <w:top w:w="55" w:type="dxa"/>
              <w:left w:w="70" w:type="dxa"/>
              <w:bottom w:w="55" w:type="dxa"/>
              <w:right w:w="70" w:type="dxa"/>
            </w:tcMar>
            <w:vAlign w:val="center"/>
            <w:hideMark/>
          </w:tcPr>
          <w:p w14:paraId="7225EFCD" w14:textId="77777777" w:rsidR="00B14FA3" w:rsidRPr="00B14FA3" w:rsidRDefault="00B14FA3" w:rsidP="00B14FA3">
            <w:pPr>
              <w:keepNext/>
              <w:ind w:firstLine="0"/>
              <w:jc w:val="left"/>
            </w:pPr>
            <w:r>
              <w:rPr>
                <w:color w:val="000000"/>
                <w:szCs w:val="21"/>
              </w:rPr>
              <w:t>0.168±0.001</w:t>
            </w:r>
          </w:p>
        </w:tc>
      </w:tr>
      <w:tr w:rsidR="00B10182" w14:paraId="08C5DFD2"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6718FA40"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4445469C" w14:textId="77777777" w:rsidR="00B14FA3" w:rsidRPr="00B14FA3" w:rsidRDefault="00B14FA3" w:rsidP="00B14FA3">
            <w:pPr>
              <w:keepNext/>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30B2B4F3" w14:textId="77777777" w:rsidR="00B14FA3" w:rsidRPr="00B14FA3" w:rsidRDefault="00B14FA3" w:rsidP="00B14FA3">
            <w:pPr>
              <w:keepNext/>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52D4A5CB" w14:textId="77777777" w:rsidR="00B14FA3" w:rsidRPr="00B14FA3" w:rsidRDefault="00B14FA3" w:rsidP="00B14FA3">
            <w:pPr>
              <w:keepNext/>
              <w:ind w:firstLine="0"/>
              <w:jc w:val="left"/>
            </w:pPr>
            <w:r>
              <w:rPr>
                <w:color w:val="000000"/>
                <w:szCs w:val="21"/>
              </w:rPr>
              <w:t>0.454±0.007</w:t>
            </w:r>
          </w:p>
        </w:tc>
        <w:tc>
          <w:tcPr>
            <w:tcW w:w="2000" w:type="dxa"/>
            <w:tcBorders>
              <w:top w:val="nil"/>
              <w:left w:val="nil"/>
              <w:bottom w:val="nil"/>
              <w:right w:val="nil"/>
            </w:tcBorders>
            <w:tcMar>
              <w:top w:w="55" w:type="dxa"/>
              <w:left w:w="70" w:type="dxa"/>
              <w:bottom w:w="55" w:type="dxa"/>
              <w:right w:w="70" w:type="dxa"/>
            </w:tcMar>
            <w:vAlign w:val="center"/>
            <w:hideMark/>
          </w:tcPr>
          <w:p w14:paraId="42E93C94" w14:textId="77777777" w:rsidR="00B14FA3" w:rsidRPr="00B14FA3" w:rsidRDefault="00B14FA3" w:rsidP="00B14FA3">
            <w:pPr>
              <w:keepNext/>
              <w:ind w:firstLine="0"/>
              <w:jc w:val="left"/>
            </w:pPr>
            <w:r>
              <w:rPr>
                <w:color w:val="000000"/>
                <w:szCs w:val="21"/>
              </w:rPr>
              <w:t>0.383±0.006</w:t>
            </w:r>
          </w:p>
        </w:tc>
      </w:tr>
      <w:tr w:rsidR="00B10182" w14:paraId="14CFFB90"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2A283DE7"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64DB8CC0" w14:textId="77777777" w:rsidR="00B14FA3" w:rsidRPr="00B14FA3" w:rsidRDefault="00B14FA3" w:rsidP="00B14FA3">
            <w:pPr>
              <w:keepNext/>
              <w:ind w:firstLine="0"/>
              <w:jc w:val="left"/>
            </w:pPr>
            <w:r>
              <w:rPr>
                <w:color w:val="000000"/>
                <w:szCs w:val="21"/>
              </w:rPr>
              <w:t>LightTS</w:t>
            </w:r>
          </w:p>
        </w:tc>
        <w:tc>
          <w:tcPr>
            <w:tcW w:w="1200" w:type="dxa"/>
            <w:tcBorders>
              <w:top w:val="nil"/>
              <w:left w:val="nil"/>
              <w:bottom w:val="nil"/>
              <w:right w:val="nil"/>
            </w:tcBorders>
            <w:tcMar>
              <w:top w:w="55" w:type="dxa"/>
              <w:left w:w="70" w:type="dxa"/>
              <w:bottom w:w="55" w:type="dxa"/>
              <w:right w:w="70" w:type="dxa"/>
            </w:tcMar>
            <w:vAlign w:val="center"/>
            <w:hideMark/>
          </w:tcPr>
          <w:p w14:paraId="55B386AD" w14:textId="77777777" w:rsidR="00B14FA3" w:rsidRPr="00B14FA3" w:rsidRDefault="00B14FA3" w:rsidP="00B14FA3">
            <w:pPr>
              <w:keepNext/>
              <w:ind w:firstLine="0"/>
              <w:jc w:val="left"/>
            </w:pPr>
            <w:r>
              <w:rPr>
                <w:color w:val="000000"/>
                <w:szCs w:val="21"/>
              </w:rPr>
              <w:t>384382</w:t>
            </w:r>
          </w:p>
        </w:tc>
        <w:tc>
          <w:tcPr>
            <w:tcW w:w="2000" w:type="dxa"/>
            <w:tcBorders>
              <w:top w:val="nil"/>
              <w:left w:val="nil"/>
              <w:bottom w:val="nil"/>
              <w:right w:val="nil"/>
            </w:tcBorders>
            <w:tcMar>
              <w:top w:w="55" w:type="dxa"/>
              <w:left w:w="70" w:type="dxa"/>
              <w:bottom w:w="55" w:type="dxa"/>
              <w:right w:w="70" w:type="dxa"/>
            </w:tcMar>
            <w:vAlign w:val="center"/>
            <w:hideMark/>
          </w:tcPr>
          <w:p w14:paraId="63428E63" w14:textId="77777777" w:rsidR="00B14FA3" w:rsidRPr="00B14FA3" w:rsidRDefault="00B14FA3" w:rsidP="00B14FA3">
            <w:pPr>
              <w:keepNext/>
              <w:ind w:firstLine="0"/>
              <w:jc w:val="left"/>
            </w:pPr>
            <w:r>
              <w:rPr>
                <w:color w:val="000000"/>
                <w:szCs w:val="21"/>
              </w:rPr>
              <w:t>0.817±0.024</w:t>
            </w:r>
          </w:p>
        </w:tc>
        <w:tc>
          <w:tcPr>
            <w:tcW w:w="2000" w:type="dxa"/>
            <w:tcBorders>
              <w:top w:val="nil"/>
              <w:left w:val="nil"/>
              <w:bottom w:val="nil"/>
              <w:right w:val="nil"/>
            </w:tcBorders>
            <w:tcMar>
              <w:top w:w="55" w:type="dxa"/>
              <w:left w:w="70" w:type="dxa"/>
              <w:bottom w:w="55" w:type="dxa"/>
              <w:right w:w="70" w:type="dxa"/>
            </w:tcMar>
            <w:vAlign w:val="center"/>
            <w:hideMark/>
          </w:tcPr>
          <w:p w14:paraId="0B5D4941" w14:textId="77777777" w:rsidR="00B14FA3" w:rsidRPr="00B14FA3" w:rsidRDefault="00B14FA3" w:rsidP="00B14FA3">
            <w:pPr>
              <w:keepNext/>
              <w:ind w:firstLine="0"/>
              <w:jc w:val="left"/>
            </w:pPr>
            <w:r>
              <w:rPr>
                <w:color w:val="000000"/>
                <w:szCs w:val="21"/>
              </w:rPr>
              <w:t>0.523±0.014</w:t>
            </w:r>
          </w:p>
        </w:tc>
      </w:tr>
      <w:tr w:rsidR="00B10182" w14:paraId="72F28BC4"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09F27897"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3608F1F4" w14:textId="77777777" w:rsidR="00B14FA3" w:rsidRPr="00B14FA3" w:rsidRDefault="00B14FA3" w:rsidP="00B14FA3">
            <w:pPr>
              <w:keepNext/>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1036E0DB"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245CE26A" w14:textId="77777777" w:rsidR="00B14FA3" w:rsidRPr="00B14FA3" w:rsidRDefault="00B14FA3" w:rsidP="00B14FA3">
            <w:pPr>
              <w:keepNext/>
              <w:ind w:firstLine="0"/>
              <w:jc w:val="left"/>
            </w:pPr>
            <w:r>
              <w:rPr>
                <w:color w:val="000000"/>
                <w:szCs w:val="21"/>
              </w:rPr>
              <w:t>0.434±0.051</w:t>
            </w:r>
          </w:p>
        </w:tc>
        <w:tc>
          <w:tcPr>
            <w:tcW w:w="2000" w:type="dxa"/>
            <w:tcBorders>
              <w:top w:val="nil"/>
              <w:left w:val="nil"/>
              <w:bottom w:val="nil"/>
              <w:right w:val="nil"/>
            </w:tcBorders>
            <w:tcMar>
              <w:top w:w="55" w:type="dxa"/>
              <w:left w:w="70" w:type="dxa"/>
              <w:bottom w:w="55" w:type="dxa"/>
              <w:right w:w="70" w:type="dxa"/>
            </w:tcMar>
            <w:vAlign w:val="center"/>
            <w:hideMark/>
          </w:tcPr>
          <w:p w14:paraId="1A66C078" w14:textId="77777777" w:rsidR="00B14FA3" w:rsidRPr="00B14FA3" w:rsidRDefault="00B14FA3" w:rsidP="00B14FA3">
            <w:pPr>
              <w:keepNext/>
              <w:ind w:firstLine="0"/>
              <w:jc w:val="left"/>
            </w:pPr>
            <w:r>
              <w:rPr>
                <w:color w:val="000000"/>
                <w:szCs w:val="21"/>
              </w:rPr>
              <w:t>0.370±0.031</w:t>
            </w:r>
          </w:p>
        </w:tc>
      </w:tr>
    </w:tbl>
    <w:p w14:paraId="5DE8C5AD" w14:textId="77777777" w:rsidR="00B14FA3" w:rsidRPr="00B14FA3" w:rsidRDefault="00B14FA3" w:rsidP="00B14FA3">
      <w:r>
        <w:rPr>
          <w:color w:val="000000"/>
          <w:szCs w:val="21"/>
        </w:rPr>
        <w:t>两数据集的平均结果均表明，自适应多尺度融合能够在统一的数据划分、预处理和预测任务设置下降低预测误差。同时，本文方法仅含</w:t>
      </w:r>
      <w:r>
        <w:rPr>
          <w:color w:val="000000"/>
          <w:szCs w:val="21"/>
        </w:rPr>
        <w:t>8339</w:t>
      </w:r>
      <w:r>
        <w:rPr>
          <w:color w:val="000000"/>
          <w:szCs w:val="21"/>
        </w:rPr>
        <w:t>个可训练参数，明显少于当前适配下的</w:t>
      </w:r>
      <w:r>
        <w:rPr>
          <w:color w:val="000000"/>
          <w:szCs w:val="21"/>
        </w:rPr>
        <w:t>LightTS</w:t>
      </w:r>
      <w:r>
        <w:rPr>
          <w:color w:val="000000"/>
          <w:szCs w:val="21"/>
        </w:rPr>
        <w:t>；但参数量仅反映模型规模，不等同于训练或推理速度。此外，</w:t>
      </w:r>
      <w:r>
        <w:rPr>
          <w:color w:val="000000"/>
          <w:szCs w:val="21"/>
        </w:rPr>
        <w:t>GÉANT</w:t>
      </w:r>
      <w:r>
        <w:rPr>
          <w:color w:val="000000"/>
          <w:szCs w:val="21"/>
        </w:rPr>
        <w:t>上的标准差明显高于</w:t>
      </w:r>
      <w:r>
        <w:rPr>
          <w:color w:val="000000"/>
          <w:szCs w:val="21"/>
        </w:rPr>
        <w:t>Abilene</w:t>
      </w:r>
      <w:r>
        <w:rPr>
          <w:color w:val="000000"/>
          <w:szCs w:val="21"/>
        </w:rPr>
        <w:t>，因此外部基线结果用于说明当前统一实验协议下的相对表现，不据此推断本文方法在其他任务上普遍优于</w:t>
      </w:r>
      <w:r>
        <w:rPr>
          <w:color w:val="000000"/>
          <w:szCs w:val="21"/>
        </w:rPr>
        <w:t>LightTS</w:t>
      </w:r>
      <w:r>
        <w:rPr>
          <w:color w:val="000000"/>
          <w:szCs w:val="21"/>
        </w:rPr>
        <w:t>。</w:t>
      </w:r>
    </w:p>
    <w:p w14:paraId="45F47835"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 xml:space="preserve">2.4 </w:t>
      </w:r>
      <w:r>
        <w:rPr>
          <w:rFonts w:ascii="Arial" w:eastAsia="黑体" w:hAnsi="Arial"/>
          <w:b/>
          <w:bCs/>
          <w:color w:val="000000"/>
          <w:szCs w:val="21"/>
        </w:rPr>
        <w:t>八随机种子核心消融与稳定性</w:t>
      </w:r>
    </w:p>
    <w:p w14:paraId="4EB4547B" w14:textId="77777777" w:rsidR="00B14FA3" w:rsidRPr="00B14FA3" w:rsidRDefault="00B14FA3" w:rsidP="00B14FA3">
      <w:r>
        <w:rPr>
          <w:color w:val="000000"/>
          <w:szCs w:val="21"/>
        </w:rPr>
        <w:t>表</w:t>
      </w:r>
      <w:r>
        <w:rPr>
          <w:color w:val="000000"/>
          <w:szCs w:val="21"/>
        </w:rPr>
        <w:t>3</w:t>
      </w:r>
      <w:r>
        <w:rPr>
          <w:color w:val="000000"/>
          <w:szCs w:val="21"/>
        </w:rPr>
        <w:t>进一步使用随机种子</w:t>
      </w:r>
      <w:r>
        <w:rPr>
          <w:color w:val="000000"/>
          <w:szCs w:val="21"/>
        </w:rPr>
        <w:t>42—49</w:t>
      </w:r>
      <w:r>
        <w:rPr>
          <w:color w:val="000000"/>
          <w:szCs w:val="21"/>
        </w:rPr>
        <w:t>比较</w:t>
      </w:r>
      <w:r>
        <w:rPr>
          <w:color w:val="000000"/>
          <w:szCs w:val="21"/>
        </w:rPr>
        <w:t>DLinear</w:t>
      </w:r>
      <w:r>
        <w:rPr>
          <w:color w:val="000000"/>
          <w:szCs w:val="21"/>
        </w:rPr>
        <w:t>、固定等权多尺度和自适应多尺度。在</w:t>
      </w:r>
      <w:r>
        <w:rPr>
          <w:color w:val="000000"/>
          <w:szCs w:val="21"/>
        </w:rPr>
        <w:t>Abilene</w:t>
      </w:r>
      <w:r>
        <w:rPr>
          <w:color w:val="000000"/>
          <w:szCs w:val="21"/>
        </w:rPr>
        <w:t>上，本文方法相较</w:t>
      </w:r>
      <w:r>
        <w:rPr>
          <w:color w:val="000000"/>
          <w:szCs w:val="21"/>
        </w:rPr>
        <w:t>DLinear</w:t>
      </w:r>
      <w:r>
        <w:rPr>
          <w:color w:val="000000"/>
          <w:szCs w:val="21"/>
        </w:rPr>
        <w:t>的</w:t>
      </w:r>
      <w:r>
        <w:rPr>
          <w:color w:val="000000"/>
          <w:szCs w:val="21"/>
        </w:rPr>
        <w:t>MSE</w:t>
      </w:r>
      <w:r>
        <w:rPr>
          <w:color w:val="000000"/>
          <w:szCs w:val="21"/>
        </w:rPr>
        <w:t>和</w:t>
      </w:r>
      <w:r>
        <w:rPr>
          <w:color w:val="000000"/>
          <w:szCs w:val="21"/>
        </w:rPr>
        <w:t>MAE</w:t>
      </w:r>
      <w:r>
        <w:rPr>
          <w:color w:val="000000"/>
          <w:szCs w:val="21"/>
        </w:rPr>
        <w:t>分别降低</w:t>
      </w:r>
      <w:r>
        <w:rPr>
          <w:color w:val="000000"/>
          <w:szCs w:val="21"/>
        </w:rPr>
        <w:t>2.77%</w:t>
      </w:r>
      <w:r>
        <w:rPr>
          <w:color w:val="000000"/>
          <w:szCs w:val="21"/>
        </w:rPr>
        <w:t>和</w:t>
      </w:r>
      <w:r>
        <w:rPr>
          <w:color w:val="000000"/>
          <w:szCs w:val="21"/>
        </w:rPr>
        <w:t>8.23%</w:t>
      </w:r>
      <w:r>
        <w:rPr>
          <w:color w:val="000000"/>
          <w:szCs w:val="21"/>
        </w:rPr>
        <w:t>，相较固定等权多尺度分别降低</w:t>
      </w:r>
      <w:r>
        <w:rPr>
          <w:color w:val="000000"/>
          <w:szCs w:val="21"/>
        </w:rPr>
        <w:t>1.67%</w:t>
      </w:r>
      <w:r>
        <w:rPr>
          <w:color w:val="000000"/>
          <w:szCs w:val="21"/>
        </w:rPr>
        <w:t>和</w:t>
      </w:r>
      <w:r>
        <w:rPr>
          <w:color w:val="000000"/>
          <w:szCs w:val="21"/>
        </w:rPr>
        <w:t>9.04%</w:t>
      </w:r>
      <w:r>
        <w:rPr>
          <w:color w:val="000000"/>
          <w:szCs w:val="21"/>
        </w:rPr>
        <w:t>；在</w:t>
      </w:r>
      <w:r>
        <w:rPr>
          <w:color w:val="000000"/>
          <w:szCs w:val="21"/>
        </w:rPr>
        <w:t>GÉANT</w:t>
      </w:r>
      <w:r>
        <w:rPr>
          <w:color w:val="000000"/>
          <w:szCs w:val="21"/>
        </w:rPr>
        <w:t>上，相应降幅分别为</w:t>
      </w:r>
      <w:r>
        <w:rPr>
          <w:color w:val="000000"/>
          <w:szCs w:val="21"/>
        </w:rPr>
        <w:t>2.37%</w:t>
      </w:r>
      <w:r>
        <w:rPr>
          <w:color w:val="000000"/>
          <w:szCs w:val="21"/>
        </w:rPr>
        <w:t>、</w:t>
      </w:r>
      <w:r>
        <w:rPr>
          <w:color w:val="000000"/>
          <w:szCs w:val="21"/>
        </w:rPr>
        <w:t>1.35%</w:t>
      </w:r>
      <w:r>
        <w:rPr>
          <w:color w:val="000000"/>
          <w:szCs w:val="21"/>
        </w:rPr>
        <w:t>以及</w:t>
      </w:r>
      <w:r>
        <w:rPr>
          <w:color w:val="000000"/>
          <w:szCs w:val="21"/>
        </w:rPr>
        <w:t>4.68%</w:t>
      </w:r>
      <w:r>
        <w:rPr>
          <w:color w:val="000000"/>
          <w:szCs w:val="21"/>
        </w:rPr>
        <w:t>、</w:t>
      </w:r>
      <w:r>
        <w:rPr>
          <w:color w:val="000000"/>
          <w:szCs w:val="21"/>
        </w:rPr>
        <w:t>3.14%</w:t>
      </w:r>
      <w:r>
        <w:rPr>
          <w:color w:val="000000"/>
          <w:szCs w:val="21"/>
        </w:rPr>
        <w:t>。固定等权模型含</w:t>
      </w:r>
      <w:r>
        <w:rPr>
          <w:color w:val="000000"/>
          <w:szCs w:val="21"/>
        </w:rPr>
        <w:t>8208</w:t>
      </w:r>
      <w:r>
        <w:rPr>
          <w:color w:val="000000"/>
          <w:szCs w:val="21"/>
        </w:rPr>
        <w:t>个参数，而本文方法含</w:t>
      </w:r>
      <w:r>
        <w:rPr>
          <w:color w:val="000000"/>
          <w:szCs w:val="21"/>
        </w:rPr>
        <w:t>8339</w:t>
      </w:r>
      <w:r>
        <w:rPr>
          <w:color w:val="000000"/>
          <w:szCs w:val="21"/>
        </w:rPr>
        <w:t>个参数，说明样本级路由仅增加</w:t>
      </w:r>
      <w:r>
        <w:rPr>
          <w:color w:val="000000"/>
          <w:szCs w:val="21"/>
        </w:rPr>
        <w:t>131</w:t>
      </w:r>
      <w:r>
        <w:rPr>
          <w:color w:val="000000"/>
          <w:szCs w:val="21"/>
        </w:rPr>
        <w:t>个参数。</w:t>
      </w:r>
    </w:p>
    <w:p w14:paraId="7719DA9B" w14:textId="77777777" w:rsidR="00B14FA3" w:rsidRPr="00B14FA3" w:rsidRDefault="00B14FA3" w:rsidP="00B14FA3">
      <w:pPr>
        <w:keepNext/>
        <w:spacing w:before="60" w:after="40"/>
        <w:ind w:firstLine="0"/>
        <w:jc w:val="center"/>
      </w:pPr>
      <w:r>
        <w:rPr>
          <w:rFonts w:eastAsia="黑体"/>
          <w:b/>
          <w:color w:val="000000"/>
          <w:sz w:val="18"/>
        </w:rPr>
        <w:t>表</w:t>
      </w:r>
      <w:r>
        <w:rPr>
          <w:rFonts w:eastAsia="黑体"/>
          <w:b/>
          <w:color w:val="000000"/>
          <w:sz w:val="18"/>
        </w:rPr>
        <w:t xml:space="preserve">3 </w:t>
      </w:r>
      <w:r>
        <w:rPr>
          <w:rFonts w:eastAsia="黑体"/>
          <w:b/>
          <w:color w:val="000000"/>
          <w:sz w:val="18"/>
        </w:rPr>
        <w:t>八随机种子核心模型结果</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300"/>
        <w:gridCol w:w="2500"/>
        <w:gridCol w:w="1200"/>
        <w:gridCol w:w="2000"/>
        <w:gridCol w:w="2000"/>
      </w:tblGrid>
      <w:tr w:rsidR="00B10182" w14:paraId="3DA1AD1C" w14:textId="77777777">
        <w:trPr>
          <w:cantSplit/>
          <w:tblHeader/>
          <w:jc w:val="center"/>
        </w:trPr>
        <w:tc>
          <w:tcPr>
            <w:tcW w:w="1300" w:type="dxa"/>
            <w:tcBorders>
              <w:bottom w:val="single" w:sz="8" w:space="0" w:color="000000"/>
            </w:tcBorders>
            <w:tcMar>
              <w:top w:w="55" w:type="dxa"/>
              <w:left w:w="70" w:type="dxa"/>
              <w:bottom w:w="55" w:type="dxa"/>
              <w:right w:w="70" w:type="dxa"/>
            </w:tcMar>
            <w:vAlign w:val="center"/>
            <w:hideMark/>
          </w:tcPr>
          <w:p w14:paraId="35E46A0A" w14:textId="77777777" w:rsidR="00B14FA3" w:rsidRPr="00B14FA3" w:rsidRDefault="00B14FA3" w:rsidP="00B14FA3">
            <w:pPr>
              <w:keepNext/>
              <w:ind w:firstLine="0"/>
              <w:jc w:val="center"/>
            </w:pPr>
            <w:r>
              <w:rPr>
                <w:b/>
                <w:color w:val="000000"/>
                <w:szCs w:val="21"/>
              </w:rPr>
              <w:t>数据集</w:t>
            </w:r>
          </w:p>
        </w:tc>
        <w:tc>
          <w:tcPr>
            <w:tcW w:w="2500" w:type="dxa"/>
            <w:tcBorders>
              <w:bottom w:val="single" w:sz="8" w:space="0" w:color="000000"/>
            </w:tcBorders>
            <w:tcMar>
              <w:top w:w="55" w:type="dxa"/>
              <w:left w:w="70" w:type="dxa"/>
              <w:bottom w:w="55" w:type="dxa"/>
              <w:right w:w="70" w:type="dxa"/>
            </w:tcMar>
            <w:vAlign w:val="center"/>
            <w:hideMark/>
          </w:tcPr>
          <w:p w14:paraId="16C4D3AF" w14:textId="77777777" w:rsidR="00B14FA3" w:rsidRPr="00B14FA3" w:rsidRDefault="00B14FA3" w:rsidP="00B14FA3">
            <w:pPr>
              <w:keepNext/>
              <w:ind w:firstLine="0"/>
              <w:jc w:val="center"/>
            </w:pPr>
            <w:r>
              <w:rPr>
                <w:b/>
                <w:color w:val="000000"/>
                <w:szCs w:val="21"/>
              </w:rPr>
              <w:t>模型</w:t>
            </w:r>
          </w:p>
        </w:tc>
        <w:tc>
          <w:tcPr>
            <w:tcW w:w="1200" w:type="dxa"/>
            <w:tcBorders>
              <w:bottom w:val="single" w:sz="8" w:space="0" w:color="000000"/>
            </w:tcBorders>
            <w:tcMar>
              <w:top w:w="55" w:type="dxa"/>
              <w:left w:w="70" w:type="dxa"/>
              <w:bottom w:w="55" w:type="dxa"/>
              <w:right w:w="70" w:type="dxa"/>
            </w:tcMar>
            <w:vAlign w:val="center"/>
            <w:hideMark/>
          </w:tcPr>
          <w:p w14:paraId="17F99015" w14:textId="77777777" w:rsidR="00B14FA3" w:rsidRPr="00B14FA3" w:rsidRDefault="00B14FA3" w:rsidP="00B14FA3">
            <w:pPr>
              <w:keepNext/>
              <w:ind w:firstLine="0"/>
              <w:jc w:val="center"/>
            </w:pPr>
            <w:r>
              <w:rPr>
                <w:b/>
                <w:color w:val="000000"/>
                <w:szCs w:val="21"/>
              </w:rPr>
              <w:t>参数量</w:t>
            </w:r>
          </w:p>
        </w:tc>
        <w:tc>
          <w:tcPr>
            <w:tcW w:w="2000" w:type="dxa"/>
            <w:tcBorders>
              <w:bottom w:val="single" w:sz="8" w:space="0" w:color="000000"/>
            </w:tcBorders>
            <w:tcMar>
              <w:top w:w="55" w:type="dxa"/>
              <w:left w:w="70" w:type="dxa"/>
              <w:bottom w:w="55" w:type="dxa"/>
              <w:right w:w="70" w:type="dxa"/>
            </w:tcMar>
            <w:vAlign w:val="center"/>
            <w:hideMark/>
          </w:tcPr>
          <w:p w14:paraId="5C192F3F" w14:textId="77777777" w:rsidR="00B14FA3" w:rsidRPr="00B14FA3" w:rsidRDefault="00B14FA3" w:rsidP="00B14FA3">
            <w:pPr>
              <w:keepNext/>
              <w:ind w:firstLine="0"/>
              <w:jc w:val="center"/>
            </w:pPr>
            <w:r>
              <w:rPr>
                <w:b/>
                <w:color w:val="000000"/>
                <w:szCs w:val="21"/>
              </w:rPr>
              <w:t>MSE</w:t>
            </w:r>
          </w:p>
        </w:tc>
        <w:tc>
          <w:tcPr>
            <w:tcW w:w="2000" w:type="dxa"/>
            <w:tcBorders>
              <w:bottom w:val="single" w:sz="8" w:space="0" w:color="000000"/>
            </w:tcBorders>
            <w:tcMar>
              <w:top w:w="55" w:type="dxa"/>
              <w:left w:w="70" w:type="dxa"/>
              <w:bottom w:w="55" w:type="dxa"/>
              <w:right w:w="70" w:type="dxa"/>
            </w:tcMar>
            <w:vAlign w:val="center"/>
            <w:hideMark/>
          </w:tcPr>
          <w:p w14:paraId="4D3677E0" w14:textId="77777777" w:rsidR="00B14FA3" w:rsidRPr="00B14FA3" w:rsidRDefault="00B14FA3" w:rsidP="00B14FA3">
            <w:pPr>
              <w:keepNext/>
              <w:ind w:firstLine="0"/>
              <w:jc w:val="center"/>
            </w:pPr>
            <w:r>
              <w:rPr>
                <w:b/>
                <w:color w:val="000000"/>
                <w:szCs w:val="21"/>
              </w:rPr>
              <w:t>MAE</w:t>
            </w:r>
          </w:p>
        </w:tc>
      </w:tr>
      <w:tr w:rsidR="00B10182" w14:paraId="74FD5207"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7E7AD1C0"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48CDB700" w14:textId="77777777" w:rsidR="00B14FA3" w:rsidRPr="00B14FA3" w:rsidRDefault="00B14FA3" w:rsidP="00B14FA3">
            <w:pPr>
              <w:keepNext/>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16F24568" w14:textId="77777777" w:rsidR="00B14FA3" w:rsidRPr="00B14FA3" w:rsidRDefault="00B14FA3" w:rsidP="00B14FA3">
            <w:pPr>
              <w:keepNext/>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675D686B" w14:textId="77777777" w:rsidR="00B14FA3" w:rsidRPr="00B14FA3" w:rsidRDefault="00B14FA3" w:rsidP="00B14FA3">
            <w:pPr>
              <w:keepNext/>
              <w:ind w:firstLine="0"/>
              <w:jc w:val="left"/>
            </w:pPr>
            <w:r>
              <w:rPr>
                <w:color w:val="000000"/>
                <w:szCs w:val="21"/>
              </w:rPr>
              <w:t>0.194±0.002</w:t>
            </w:r>
          </w:p>
        </w:tc>
        <w:tc>
          <w:tcPr>
            <w:tcW w:w="2000" w:type="dxa"/>
            <w:tcBorders>
              <w:top w:val="nil"/>
              <w:left w:val="nil"/>
              <w:bottom w:val="nil"/>
              <w:right w:val="nil"/>
            </w:tcBorders>
            <w:tcMar>
              <w:top w:w="55" w:type="dxa"/>
              <w:left w:w="70" w:type="dxa"/>
              <w:bottom w:w="55" w:type="dxa"/>
              <w:right w:w="70" w:type="dxa"/>
            </w:tcMar>
            <w:vAlign w:val="center"/>
            <w:hideMark/>
          </w:tcPr>
          <w:p w14:paraId="057BAF36" w14:textId="77777777" w:rsidR="00B14FA3" w:rsidRPr="00B14FA3" w:rsidRDefault="00B14FA3" w:rsidP="00B14FA3">
            <w:pPr>
              <w:keepNext/>
              <w:ind w:firstLine="0"/>
              <w:jc w:val="left"/>
            </w:pPr>
            <w:r>
              <w:rPr>
                <w:color w:val="000000"/>
                <w:szCs w:val="21"/>
              </w:rPr>
              <w:t>0.189±0.008</w:t>
            </w:r>
          </w:p>
        </w:tc>
      </w:tr>
      <w:tr w:rsidR="00B10182" w14:paraId="1610B718"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540C537"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10DA8D66" w14:textId="77777777" w:rsidR="00B14FA3" w:rsidRPr="00B14FA3" w:rsidRDefault="00B14FA3" w:rsidP="00B14FA3">
            <w:pPr>
              <w:keepNext/>
              <w:ind w:firstLine="0"/>
              <w:jc w:val="left"/>
            </w:pPr>
            <w:r>
              <w:rPr>
                <w:color w:val="000000"/>
                <w:szCs w:val="21"/>
              </w:rPr>
              <w:t>固定等权多尺度</w:t>
            </w:r>
          </w:p>
        </w:tc>
        <w:tc>
          <w:tcPr>
            <w:tcW w:w="1200" w:type="dxa"/>
            <w:tcBorders>
              <w:top w:val="nil"/>
              <w:left w:val="nil"/>
              <w:bottom w:val="nil"/>
              <w:right w:val="nil"/>
            </w:tcBorders>
            <w:tcMar>
              <w:top w:w="55" w:type="dxa"/>
              <w:left w:w="70" w:type="dxa"/>
              <w:bottom w:w="55" w:type="dxa"/>
              <w:right w:w="70" w:type="dxa"/>
            </w:tcMar>
            <w:vAlign w:val="center"/>
            <w:hideMark/>
          </w:tcPr>
          <w:p w14:paraId="2B6F414C" w14:textId="77777777" w:rsidR="00B14FA3" w:rsidRPr="00B14FA3" w:rsidRDefault="00B14FA3" w:rsidP="00B14FA3">
            <w:pPr>
              <w:keepNext/>
              <w:ind w:firstLine="0"/>
              <w:jc w:val="left"/>
            </w:pPr>
            <w:r>
              <w:rPr>
                <w:color w:val="000000"/>
                <w:szCs w:val="21"/>
              </w:rPr>
              <w:t>8208</w:t>
            </w:r>
          </w:p>
        </w:tc>
        <w:tc>
          <w:tcPr>
            <w:tcW w:w="2000" w:type="dxa"/>
            <w:tcBorders>
              <w:top w:val="nil"/>
              <w:left w:val="nil"/>
              <w:bottom w:val="nil"/>
              <w:right w:val="nil"/>
            </w:tcBorders>
            <w:tcMar>
              <w:top w:w="55" w:type="dxa"/>
              <w:left w:w="70" w:type="dxa"/>
              <w:bottom w:w="55" w:type="dxa"/>
              <w:right w:w="70" w:type="dxa"/>
            </w:tcMar>
            <w:vAlign w:val="center"/>
            <w:hideMark/>
          </w:tcPr>
          <w:p w14:paraId="6628BFC6" w14:textId="77777777" w:rsidR="00B14FA3" w:rsidRPr="00B14FA3" w:rsidRDefault="00B14FA3" w:rsidP="00B14FA3">
            <w:pPr>
              <w:keepNext/>
              <w:ind w:firstLine="0"/>
              <w:jc w:val="left"/>
            </w:pPr>
            <w:r>
              <w:rPr>
                <w:color w:val="000000"/>
                <w:szCs w:val="21"/>
              </w:rPr>
              <w:t>0.192±0.002</w:t>
            </w:r>
          </w:p>
        </w:tc>
        <w:tc>
          <w:tcPr>
            <w:tcW w:w="2000" w:type="dxa"/>
            <w:tcBorders>
              <w:top w:val="nil"/>
              <w:left w:val="nil"/>
              <w:bottom w:val="nil"/>
              <w:right w:val="nil"/>
            </w:tcBorders>
            <w:tcMar>
              <w:top w:w="55" w:type="dxa"/>
              <w:left w:w="70" w:type="dxa"/>
              <w:bottom w:w="55" w:type="dxa"/>
              <w:right w:w="70" w:type="dxa"/>
            </w:tcMar>
            <w:vAlign w:val="center"/>
            <w:hideMark/>
          </w:tcPr>
          <w:p w14:paraId="4451ED7D" w14:textId="77777777" w:rsidR="00B14FA3" w:rsidRPr="00B14FA3" w:rsidRDefault="00B14FA3" w:rsidP="00B14FA3">
            <w:pPr>
              <w:keepNext/>
              <w:ind w:firstLine="0"/>
              <w:jc w:val="left"/>
            </w:pPr>
            <w:r>
              <w:rPr>
                <w:color w:val="000000"/>
                <w:szCs w:val="21"/>
              </w:rPr>
              <w:t>0.191±0.006</w:t>
            </w:r>
          </w:p>
        </w:tc>
      </w:tr>
      <w:tr w:rsidR="00B10182" w14:paraId="23DB7E98"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1A4CCFAA"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0FC76C3A" w14:textId="77777777" w:rsidR="00B14FA3" w:rsidRPr="00B14FA3" w:rsidRDefault="00B14FA3" w:rsidP="00B14FA3">
            <w:pPr>
              <w:keepNext/>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708F9AC6"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5031967D" w14:textId="77777777" w:rsidR="00B14FA3" w:rsidRPr="00B14FA3" w:rsidRDefault="00B14FA3" w:rsidP="00B14FA3">
            <w:pPr>
              <w:keepNext/>
              <w:ind w:firstLine="0"/>
              <w:jc w:val="left"/>
            </w:pPr>
            <w:r>
              <w:rPr>
                <w:color w:val="000000"/>
                <w:szCs w:val="21"/>
              </w:rPr>
              <w:t>0.189±0.003</w:t>
            </w:r>
          </w:p>
        </w:tc>
        <w:tc>
          <w:tcPr>
            <w:tcW w:w="2000" w:type="dxa"/>
            <w:tcBorders>
              <w:top w:val="nil"/>
              <w:left w:val="nil"/>
              <w:bottom w:val="nil"/>
              <w:right w:val="nil"/>
            </w:tcBorders>
            <w:tcMar>
              <w:top w:w="55" w:type="dxa"/>
              <w:left w:w="70" w:type="dxa"/>
              <w:bottom w:w="55" w:type="dxa"/>
              <w:right w:w="70" w:type="dxa"/>
            </w:tcMar>
            <w:vAlign w:val="center"/>
            <w:hideMark/>
          </w:tcPr>
          <w:p w14:paraId="19671D4B" w14:textId="77777777" w:rsidR="00B14FA3" w:rsidRPr="00B14FA3" w:rsidRDefault="00B14FA3" w:rsidP="00B14FA3">
            <w:pPr>
              <w:keepNext/>
              <w:ind w:firstLine="0"/>
              <w:jc w:val="left"/>
            </w:pPr>
            <w:r>
              <w:rPr>
                <w:color w:val="000000"/>
                <w:szCs w:val="21"/>
              </w:rPr>
              <w:t>0.173±0.008</w:t>
            </w:r>
          </w:p>
        </w:tc>
      </w:tr>
      <w:tr w:rsidR="00B10182" w14:paraId="56D06F3E"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6945779"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73EC9705" w14:textId="77777777" w:rsidR="00B14FA3" w:rsidRPr="00B14FA3" w:rsidRDefault="00B14FA3" w:rsidP="00B14FA3">
            <w:pPr>
              <w:keepNext/>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566A8164" w14:textId="77777777" w:rsidR="00B14FA3" w:rsidRPr="00B14FA3" w:rsidRDefault="00B14FA3" w:rsidP="00B14FA3">
            <w:pPr>
              <w:keepNext/>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4EF2CCCB" w14:textId="77777777" w:rsidR="00B14FA3" w:rsidRPr="00B14FA3" w:rsidRDefault="00B14FA3" w:rsidP="00B14FA3">
            <w:pPr>
              <w:keepNext/>
              <w:ind w:firstLine="0"/>
              <w:jc w:val="left"/>
            </w:pPr>
            <w:r>
              <w:rPr>
                <w:color w:val="000000"/>
                <w:szCs w:val="21"/>
              </w:rPr>
              <w:t>0.437±0.016</w:t>
            </w:r>
          </w:p>
        </w:tc>
        <w:tc>
          <w:tcPr>
            <w:tcW w:w="2000" w:type="dxa"/>
            <w:tcBorders>
              <w:top w:val="nil"/>
              <w:left w:val="nil"/>
              <w:bottom w:val="nil"/>
              <w:right w:val="nil"/>
            </w:tcBorders>
            <w:tcMar>
              <w:top w:w="55" w:type="dxa"/>
              <w:left w:w="70" w:type="dxa"/>
              <w:bottom w:w="55" w:type="dxa"/>
              <w:right w:w="70" w:type="dxa"/>
            </w:tcMar>
            <w:vAlign w:val="center"/>
            <w:hideMark/>
          </w:tcPr>
          <w:p w14:paraId="53A75E10" w14:textId="77777777" w:rsidR="00B14FA3" w:rsidRPr="00B14FA3" w:rsidRDefault="00B14FA3" w:rsidP="00B14FA3">
            <w:pPr>
              <w:keepNext/>
              <w:ind w:firstLine="0"/>
              <w:jc w:val="left"/>
            </w:pPr>
            <w:r>
              <w:rPr>
                <w:color w:val="000000"/>
                <w:szCs w:val="21"/>
              </w:rPr>
              <w:t>0.371±0.011</w:t>
            </w:r>
          </w:p>
        </w:tc>
      </w:tr>
      <w:tr w:rsidR="00B10182" w14:paraId="66E7B953"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154878CA"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184E9A01" w14:textId="77777777" w:rsidR="00B14FA3" w:rsidRPr="00B14FA3" w:rsidRDefault="00B14FA3" w:rsidP="00B14FA3">
            <w:pPr>
              <w:keepNext/>
              <w:ind w:firstLine="0"/>
              <w:jc w:val="left"/>
            </w:pPr>
            <w:r>
              <w:rPr>
                <w:color w:val="000000"/>
                <w:szCs w:val="21"/>
              </w:rPr>
              <w:t>固定等权多尺度</w:t>
            </w:r>
          </w:p>
        </w:tc>
        <w:tc>
          <w:tcPr>
            <w:tcW w:w="1200" w:type="dxa"/>
            <w:tcBorders>
              <w:top w:val="nil"/>
              <w:left w:val="nil"/>
              <w:bottom w:val="nil"/>
              <w:right w:val="nil"/>
            </w:tcBorders>
            <w:tcMar>
              <w:top w:w="55" w:type="dxa"/>
              <w:left w:w="70" w:type="dxa"/>
              <w:bottom w:w="55" w:type="dxa"/>
              <w:right w:w="70" w:type="dxa"/>
            </w:tcMar>
            <w:vAlign w:val="center"/>
            <w:hideMark/>
          </w:tcPr>
          <w:p w14:paraId="1A76C9D2" w14:textId="77777777" w:rsidR="00B14FA3" w:rsidRPr="00B14FA3" w:rsidRDefault="00B14FA3" w:rsidP="00B14FA3">
            <w:pPr>
              <w:keepNext/>
              <w:ind w:firstLine="0"/>
              <w:jc w:val="left"/>
            </w:pPr>
            <w:r>
              <w:rPr>
                <w:color w:val="000000"/>
                <w:szCs w:val="21"/>
              </w:rPr>
              <w:t>8208</w:t>
            </w:r>
          </w:p>
        </w:tc>
        <w:tc>
          <w:tcPr>
            <w:tcW w:w="2000" w:type="dxa"/>
            <w:tcBorders>
              <w:top w:val="nil"/>
              <w:left w:val="nil"/>
              <w:bottom w:val="nil"/>
              <w:right w:val="nil"/>
            </w:tcBorders>
            <w:tcMar>
              <w:top w:w="55" w:type="dxa"/>
              <w:left w:w="70" w:type="dxa"/>
              <w:bottom w:w="55" w:type="dxa"/>
              <w:right w:w="70" w:type="dxa"/>
            </w:tcMar>
            <w:vAlign w:val="center"/>
            <w:hideMark/>
          </w:tcPr>
          <w:p w14:paraId="5A292C45" w14:textId="77777777" w:rsidR="00B14FA3" w:rsidRPr="00B14FA3" w:rsidRDefault="00B14FA3" w:rsidP="00B14FA3">
            <w:pPr>
              <w:keepNext/>
              <w:ind w:firstLine="0"/>
              <w:jc w:val="left"/>
            </w:pPr>
            <w:r>
              <w:rPr>
                <w:color w:val="000000"/>
                <w:szCs w:val="21"/>
              </w:rPr>
              <w:t>0.447±0.014</w:t>
            </w:r>
          </w:p>
        </w:tc>
        <w:tc>
          <w:tcPr>
            <w:tcW w:w="2000" w:type="dxa"/>
            <w:tcBorders>
              <w:top w:val="nil"/>
              <w:left w:val="nil"/>
              <w:bottom w:val="nil"/>
              <w:right w:val="nil"/>
            </w:tcBorders>
            <w:tcMar>
              <w:top w:w="55" w:type="dxa"/>
              <w:left w:w="70" w:type="dxa"/>
              <w:bottom w:w="55" w:type="dxa"/>
              <w:right w:w="70" w:type="dxa"/>
            </w:tcMar>
            <w:vAlign w:val="center"/>
            <w:hideMark/>
          </w:tcPr>
          <w:p w14:paraId="789428A2" w14:textId="77777777" w:rsidR="00B14FA3" w:rsidRPr="00B14FA3" w:rsidRDefault="00B14FA3" w:rsidP="00B14FA3">
            <w:pPr>
              <w:keepNext/>
              <w:ind w:firstLine="0"/>
              <w:jc w:val="left"/>
            </w:pPr>
            <w:r>
              <w:rPr>
                <w:color w:val="000000"/>
                <w:szCs w:val="21"/>
              </w:rPr>
              <w:t>0.377±0.009</w:t>
            </w:r>
          </w:p>
        </w:tc>
      </w:tr>
      <w:tr w:rsidR="00B10182" w14:paraId="25E1F678"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62BD8356"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1B646072" w14:textId="77777777" w:rsidR="00B14FA3" w:rsidRPr="00B14FA3" w:rsidRDefault="00B14FA3" w:rsidP="00B14FA3">
            <w:pPr>
              <w:keepNext/>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74D4C5F6"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21BB5253" w14:textId="77777777" w:rsidR="00B14FA3" w:rsidRPr="00B14FA3" w:rsidRDefault="00B14FA3" w:rsidP="00B14FA3">
            <w:pPr>
              <w:keepNext/>
              <w:ind w:firstLine="0"/>
              <w:jc w:val="left"/>
            </w:pPr>
            <w:r>
              <w:rPr>
                <w:color w:val="000000"/>
                <w:szCs w:val="21"/>
              </w:rPr>
              <w:t>0.426±0.029</w:t>
            </w:r>
          </w:p>
        </w:tc>
        <w:tc>
          <w:tcPr>
            <w:tcW w:w="2000" w:type="dxa"/>
            <w:tcBorders>
              <w:top w:val="nil"/>
              <w:left w:val="nil"/>
              <w:bottom w:val="nil"/>
              <w:right w:val="nil"/>
            </w:tcBorders>
            <w:tcMar>
              <w:top w:w="55" w:type="dxa"/>
              <w:left w:w="70" w:type="dxa"/>
              <w:bottom w:w="55" w:type="dxa"/>
              <w:right w:w="70" w:type="dxa"/>
            </w:tcMar>
            <w:vAlign w:val="center"/>
            <w:hideMark/>
          </w:tcPr>
          <w:p w14:paraId="2A51F99E" w14:textId="77777777" w:rsidR="00B14FA3" w:rsidRPr="00B14FA3" w:rsidRDefault="00B14FA3" w:rsidP="00B14FA3">
            <w:pPr>
              <w:keepNext/>
              <w:ind w:firstLine="0"/>
              <w:jc w:val="left"/>
            </w:pPr>
            <w:r>
              <w:rPr>
                <w:color w:val="000000"/>
                <w:szCs w:val="21"/>
              </w:rPr>
              <w:t>0.366±0.018</w:t>
            </w:r>
          </w:p>
        </w:tc>
      </w:tr>
    </w:tbl>
    <w:p w14:paraId="68B92BCA" w14:textId="77777777" w:rsidR="00B14FA3" w:rsidRPr="00B14FA3" w:rsidRDefault="00B14FA3" w:rsidP="00B14FA3">
      <w:r>
        <w:rPr>
          <w:color w:val="000000"/>
          <w:szCs w:val="21"/>
        </w:rPr>
        <w:t>同种子配对结果及配对差值分布见图2。图2上排灰线连接同一随机种子下固定等权与自适应权重模型的MSE，黑色菱形及误差线表示8个随机种子的均值±标准差；下排以ΔMSE=固定等权−自适应权重表示效应方向，圆点表示各随机种子的配对差值，半小提琴表示差值分布，黑色圆点及误差线表示平均ΔMSE及其95%置信区间，其中ΔMSE&gt;0表示自适应权重模型的MSE更低。Abilene中，自适应模型在8个种子中的6个取得更低MSE，平均ΔMSE为0.00320，95%置信区间为[-0.00020,0.00660]，配对t检验p=0.061；GÉANT中为7个，平均ΔMSE为0.02094，95%置信区间为[-0.00958,0.05146]，p=0.149。两数据集的平均差值均为正，说明样本级自适应加权在平均意义上降低了MSE；但相对固定等权的95%置信区间均跨越0，因此不能表述为两数据集均达到统计显著。结合表3可见，Abilene上的跨种子波动较小，而GÉANT仍存在更明显的稳定性提升空间。</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22D1C830" w14:textId="77777777" w:rsidR="00B14FA3" w:rsidRPr="00B14FA3" w:rsidRDefault="00B14FA3" w:rsidP="00B14FA3">
      <w:pPr>
        <w:keepNext/>
        <w:spacing w:before="60"/>
        <w:ind w:firstLine="0"/>
        <w:jc w:val="center"/>
      </w:pPr>
      <w:r w:rsidRPr="00B14FA3">
        <w:rPr>
          <w:noProof/>
        </w:rPr>
        <w:drawing>
          <wp:inline distT="0" distB="0" distL="0" distR="0" wp14:anchorId="3E6F0209" wp14:editId="369FDCB1">
            <wp:extent cx="5760720" cy="3852073"/>
            <wp:effectExtent l="0" t="0" r="0" b="9525"/>
            <wp:docPr id="20" name="图片 2" descr="已检查的图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已检查的图像"/>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60720" cy="3852073"/>
                    </a:xfrm>
                    <a:prstGeom prst="rect">
                      <a:avLst/>
                    </a:prstGeom>
                    <a:noFill/>
                    <a:ln>
                      <a:noFill/>
                    </a:ln>
                  </pic:spPr>
                </pic:pic>
              </a:graphicData>
            </a:graphic>
          </wp:inline>
        </w:drawing>
      </w:r>
    </w:p>
    <w:p w14:paraId="64F9B12D" w14:textId="77777777" w:rsidR="00B14FA3" w:rsidRPr="00B14FA3" w:rsidRDefault="00B14FA3" w:rsidP="00B14FA3">
      <w:pPr>
        <w:keepLines/>
        <w:spacing w:before="60" w:after="80"/>
        <w:ind w:firstLine="0"/>
        <w:jc w:val="center"/>
      </w:pPr>
      <w:r>
        <w:rPr>
          <w:rFonts w:eastAsia="黑体"/>
          <w:b/>
          <w:sz w:val="18"/>
          <w:szCs w:val="18"/>
        </w:rPr>
        <w:t>图2 固定等权与自适应权重的八随机种子配对MSE及配对差值分布</w:t>
      </w:r>
      <w:r>
        <w:rPr>
          <w:rFonts w:eastAsia="黑体"/>
          <w:b/>
          <w:sz w:val="18"/>
          <w:szCs w:val="18"/>
        </w:rPr>
      </w:r>
      <w:r>
        <w:rPr>
          <w:rFonts w:eastAsia="黑体"/>
          <w:b/>
          <w:sz w:val="18"/>
          <w:szCs w:val="18"/>
        </w:rPr>
      </w:r>
      <w:r>
        <w:rPr>
          <w:rFonts w:eastAsia="黑体"/>
          <w:b/>
          <w:sz w:val="18"/>
          <w:szCs w:val="18"/>
        </w:rPr>
      </w:r>
    </w:p>
    <w:p w14:paraId="5A0F0016"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 xml:space="preserve">2.5 </w:t>
      </w:r>
      <w:r>
        <w:rPr>
          <w:rFonts w:ascii="Arial" w:eastAsia="黑体" w:hAnsi="Arial"/>
          <w:b/>
          <w:bCs/>
          <w:color w:val="000000"/>
          <w:szCs w:val="21"/>
        </w:rPr>
        <w:t>路由行为与适用范围</w:t>
      </w:r>
    </w:p>
    <w:p w14:paraId="0C8325AF" w14:textId="77777777" w:rsidR="00B14FA3" w:rsidRPr="00B14FA3" w:rsidRDefault="00B14FA3" w:rsidP="00B14FA3">
      <w:r>
        <w:rPr>
          <w:color w:val="000000"/>
          <w:szCs w:val="21"/>
        </w:rPr>
        <w:t>为从总体统计视角分析样本级路由器对不同时间尺度的权重分配，图3汇总了Abilene和GÉANT数据集在随机种子42—49下全部测试窗口的三尺度路由权重。图中小提琴轮廓表示样本级权重分布，彩色圆点表示各随机种子的平均权重，黑色菱形及误差线表示8个随机种子均值及标准差，灰色虚线为固定等权基准1/3。</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pPr>
        <w:jc w:val="center"/>
      </w:pPr>
      <w:r>
        <w:drawing>
          <wp:inline xmlns:a="http://schemas.openxmlformats.org/drawingml/2006/main" xmlns:pic="http://schemas.openxmlformats.org/drawingml/2006/picture">
            <wp:extent cx="5760720" cy="2566165"/>
            <wp:docPr id="22" name="Picture 22"/>
            <wp:cNvGraphicFramePr>
              <a:graphicFrameLocks noChangeAspect="1"/>
            </wp:cNvGraphicFramePr>
            <a:graphic>
              <a:graphicData uri="http://schemas.openxmlformats.org/drawingml/2006/picture">
                <pic:pic>
                  <pic:nvPicPr>
                    <pic:cNvPr id="0" name="fig3_router_weight_distribution_color.png"/>
                    <pic:cNvPicPr/>
                  </pic:nvPicPr>
                  <pic:blipFill>
                    <a:blip r:embed="rId13"/>
                    <a:stretch>
                      <a:fillRect/>
                    </a:stretch>
                  </pic:blipFill>
                  <pic:spPr>
                    <a:xfrm>
                      <a:off x="0" y="0"/>
                      <a:ext cx="5760720" cy="2566165"/>
                    </a:xfrm>
                    <a:prstGeom prst="rect"/>
                  </pic:spPr>
                </pic:pic>
              </a:graphicData>
            </a:graphic>
          </wp:inline>
        </w:drawing>
      </w:r>
    </w:p>
    <w:p>
      <w:pPr>
        <w:keepLines/>
        <w:spacing w:before="60" w:after="80"/>
        <w:ind w:firstLine="0"/>
        <w:jc w:val="center"/>
      </w:pPr>
      <w:r>
        <w:rPr>
          <w:rFonts w:eastAsia="黑体"/>
          <w:b/>
          <w:sz w:val="18"/>
          <w:szCs w:val="18"/>
        </w:rPr>
        <w:t>图3 八随机种子下样本级自适应路由权重分布</w:t>
      </w:r>
    </w:p>
    <w:p>
      <w:pPr/>
      <w:r>
        <w:rPr>
          <w:color w:val="000000"/>
          <w:szCs w:val="21"/>
        </w:rPr>
        <w:t>从图3可以看出，两数据集的三尺度权重均呈非退化分布，并未长期固定在1/3。按8个随机种子的平均权重计算，Abilene的α1、α2和α4分别为0.257、0.319和0.424，GÉANT分别为0.283、0.318和0.399；两个数据集上尺度4的平均权重均最高，尺度1最低，尺度2整体接近等权基准。与此同时，不同随机种子的平均权重仍存在明显差异，其中Abilene的尺度2和尺度4离散程度更大。该结果说明路由器并非学习到单一固定尺度，而是在总体尺度偏好基础上保留了随训练初始化和输入样本变化的自适应调节能力。</w:t>
      </w:r>
    </w:p>
    <w:p>
      <w:pPr/>
      <w:r>
        <w:rPr>
          <w:color w:val="000000"/>
          <w:szCs w:val="21"/>
        </w:rPr>
        <w:t>为进一步观察权重在具体测试样本上的动态变化，图4固定选取随机种子42，展示两个数据集测试集前150个窗口的三尺度权重。该选择规则在两数据集间保持一致，仅用于机制可视化，不参与模型优劣的统计比较。</w:t>
      </w:r>
    </w:p>
    <w:p w14:paraId="1E496E50" w14:textId="77777777" w:rsidR="00B14FA3" w:rsidRPr="00B14FA3" w:rsidRDefault="00B14FA3" w:rsidP="00B14FA3">
      <w:pPr>
        <w:keepNext/>
        <w:spacing w:before="60"/>
        <w:ind w:firstLine="0"/>
        <w:jc w:val="center"/>
      </w:pPr>
      <w:r w:rsidRPr="00B14FA3">
        <w:rPr>
          <w:noProof/>
        </w:rPr>
        <w:drawing>
          <wp:inline distT="0" distB="0" distL="0" distR="0" wp14:anchorId="7F717F3E" wp14:editId="6D357394">
            <wp:extent cx="5760720" cy="2512853"/>
            <wp:effectExtent l="0" t="0" r="9525" b="9525"/>
            <wp:docPr id="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60720" cy="2512853"/>
                    </a:xfrm>
                    <a:prstGeom prst="rect">
                      <a:avLst/>
                    </a:prstGeom>
                    <a:noFill/>
                    <a:ln>
                      <a:noFill/>
                    </a:ln>
                  </pic:spPr>
                </pic:pic>
              </a:graphicData>
            </a:graphic>
          </wp:inline>
        </w:drawing>
      </w:r>
    </w:p>
    <w:p w14:paraId="0219AE56" w14:textId="77777777" w:rsidR="00B14FA3" w:rsidRPr="00B14FA3" w:rsidRDefault="00B14FA3" w:rsidP="00B14FA3">
      <w:pPr>
        <w:keepLines/>
        <w:spacing w:before="60" w:after="80"/>
        <w:ind w:firstLine="0"/>
        <w:jc w:val="center"/>
      </w:pPr>
      <w:r>
        <w:rPr>
          <w:rFonts w:eastAsia="黑体"/>
          <w:b/>
          <w:sz w:val="18"/>
          <w:szCs w:val="18"/>
        </w:rPr>
        <w:t>图4 两数据集样本级路由权重变化（随机种子42，灰色点线为等权基准1/3）</w:t>
      </w:r>
      <w:r>
        <w:rPr>
          <w:rFonts w:eastAsia="黑体"/>
          <w:b/>
          <w:sz w:val="18"/>
          <w:szCs w:val="18"/>
        </w:rPr>
      </w:r>
      <w:r>
        <w:rPr>
          <w:rFonts w:eastAsia="黑体"/>
          <w:b/>
          <w:sz w:val="18"/>
          <w:szCs w:val="18"/>
        </w:rPr>
      </w:r>
      <w:r>
        <w:rPr>
          <w:rFonts w:eastAsia="黑体"/>
          <w:b/>
          <w:sz w:val="18"/>
          <w:szCs w:val="18"/>
        </w:rPr>
      </w:r>
      <w:r>
        <w:rPr>
          <w:rFonts w:eastAsia="黑体"/>
          <w:b/>
          <w:sz w:val="18"/>
          <w:szCs w:val="18"/>
        </w:rPr>
      </w:r>
    </w:p>
    <w:p w14:paraId="2E41C05B" w14:textId="77777777" w:rsidR="00B14FA3" w:rsidRPr="00B14FA3" w:rsidRDefault="00B14FA3" w:rsidP="00B14FA3">
      <w:r>
        <w:rPr>
          <w:color w:val="000000"/>
          <w:szCs w:val="21"/>
        </w:rPr>
        <w:t>图4中三个尺度权重均随测试窗口发生变化，并未长期固定在1/3附近，与图3的总体分布结果相互印证，说明路由器能够依据输入窗口统计状态动态调整尺度组合。以随机种子42为例，两数据集均表现出较明显的尺度偏好变化；但不同随机种子的平均权重并不完全一致，因此不能将某一尺度解释为所有网络场景下持续占优的固定尺度。</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2B7D35DC" w14:textId="77777777" w:rsidR="00B14FA3" w:rsidRPr="00B14FA3" w:rsidRDefault="00B14FA3" w:rsidP="00B14FA3">
      <w:r>
        <w:rPr>
          <w:color w:val="000000"/>
          <w:szCs w:val="21"/>
        </w:rPr>
        <w:t>综合表2、表3和图2—图4可见，样本级自适应尺度加权的平均收益已在Abilene和GÉANT两个骨干网数据集上得到验证，路由权重的总体分布与局部动态也表明模型确实在不同时间尺度之间进行自适应调节；但GÉANT上的跨种子方差更大，稳定性仍有提升空间。当前实验仅考察L=96、H=24的单一预测设置，未显式建模网络拓扑，外部模型也仅包含LightTS一种轻量基线；同时，“轻量”主要指参数规模，而非训练时间最短。因此，后续仍需在更多网络、预测长度和拓扑约束条件下进一步检验泛化性。</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5A0F0016"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2.6 代表性窗口预测结果</w:t>
      </w:r>
    </w:p>
    <w:p w14:paraId="0C8325AF" w14:textId="77777777" w:rsidR="00B14FA3" w:rsidRPr="00B14FA3" w:rsidRDefault="00B14FA3" w:rsidP="00B14FA3">
      <w:r>
        <w:rPr>
          <w:color w:val="000000"/>
          <w:szCs w:val="21"/>
        </w:rPr>
        <w:t>为直观展示模型的24步预测行为，图5固定随机种子42，并分别从两个数据集选择本文方法窗口MAE最接近测试集窗口中位数的测试窗口；随后在该窗口中选择真实值标准差最接近非恒定OD通道中位数的通道。该规则用于选择典型而非最佳案例，不依据本文方法相对DLinear的优势筛选。图中流量均为与指标计算一致的标准化数值。</w:t>
      </w:r>
    </w:p>
    <w:p>
      <w:pPr>
        <w:jc w:val="center"/>
        <w:keepNext/>
      </w:pPr>
      <w:r>
        <w:drawing>
          <wp:inline xmlns:a="http://schemas.openxmlformats.org/drawingml/2006/main" xmlns:pic="http://schemas.openxmlformats.org/drawingml/2006/picture">
            <wp:extent cx="5212080" cy="1864896"/>
            <wp:docPr id="23" name="图5 Abilene与GÉANT代表性预测窗口" descr="Abilene和GÉANT代表性测试窗口中真实值、DLinear与本文方法的24步标准化流量预测曲线。"/>
            <wp:cNvGraphicFramePr>
              <a:graphicFrameLocks noChangeAspect="1"/>
            </wp:cNvGraphicFramePr>
            <a:graphic>
              <a:graphicData uri="http://schemas.openxmlformats.org/drawingml/2006/picture">
                <pic:pic>
                  <pic:nvPicPr>
                    <pic:cNvPr id="0" name="fig5_representative_forecasts.png"/>
                    <pic:cNvPicPr/>
                  </pic:nvPicPr>
                  <pic:blipFill>
                    <a:blip r:embed="rId14"/>
                    <a:stretch>
                      <a:fillRect/>
                    </a:stretch>
                  </pic:blipFill>
                  <pic:spPr>
                    <a:xfrm>
                      <a:off x="0" y="0"/>
                      <a:ext cx="5212080" cy="1864896"/>
                    </a:xfrm>
                    <a:prstGeom prst="rect"/>
                  </pic:spPr>
                </pic:pic>
              </a:graphicData>
            </a:graphic>
          </wp:inline>
        </w:drawing>
      </w:r>
    </w:p>
    <w:p w14:paraId="0219AE56" w14:textId="77777777" w:rsidR="00B14FA3" w:rsidRPr="00B14FA3" w:rsidRDefault="00B14FA3" w:rsidP="00B14FA3">
      <w:pPr>
        <w:keepLines/>
        <w:spacing w:before="60" w:after="80"/>
        <w:ind w:firstLine="0"/>
        <w:jc w:val="center"/>
      </w:pPr>
      <w:r>
        <w:rPr>
          <w:rFonts w:eastAsia="黑体"/>
          <w:b/>
          <w:sz w:val="18"/>
          <w:szCs w:val="18"/>
        </w:rPr>
        <w:t>图5 Abilene与GÉANT代表性预测窗口的真实值与预测值对比（随机种子42）</w:t>
      </w:r>
    </w:p>
    <w:p w14:paraId="0C8325AF" w14:textId="77777777" w:rsidR="00B14FA3" w:rsidRPr="00B14FA3" w:rsidRDefault="00B14FA3" w:rsidP="00B14FA3">
      <w:r>
        <w:rPr>
          <w:color w:val="000000"/>
          <w:szCs w:val="21"/>
        </w:rPr>
        <w:t>在Abilene代表窗口中，本文方法的MAE为0.0680，低于DLinear的0.1057，且对主要升降趋势的跟随更接近真实值；在GÉANT代表窗口中，两者MAE分别为0.2094和0.2087，差异很小。两个面板同时表明，线性预测曲线对局部突发峰值存在不同程度的平滑现象。因此，图5用于补充模型预测行为的直观展示，不替代表2、表3的多随机种子总体比较。</w:t>
      </w:r>
    </w:p>
    <w:p w14:paraId="7D87F862" w14:textId="77777777" w:rsidR="00B14FA3" w:rsidRPr="00B14FA3" w:rsidRDefault="00B14FA3" w:rsidP="00B14FA3">
      <w:pPr>
        <w:keepNext/>
        <w:widowControl/>
        <w:spacing w:before="120" w:after="40"/>
        <w:ind w:firstLine="0"/>
        <w:jc w:val="left"/>
        <w:rPr>
          <w:rFonts w:eastAsia="黑体"/>
          <w:b/>
          <w:kern w:val="0"/>
          <w:sz w:val="28"/>
          <w:szCs w:val="20"/>
        </w:rPr>
      </w:pPr>
      <w:r w:rsidRPr="00B14FA3">
        <w:rPr>
          <w:rFonts w:ascii="Arial" w:eastAsia="黑体" w:hAnsi="Arial"/>
          <w:b/>
          <w:color w:val="000000"/>
          <w:kern w:val="0"/>
          <w:sz w:val="24"/>
          <w:szCs w:val="20"/>
        </w:rPr>
        <w:t xml:space="preserve">3 </w:t>
      </w:r>
      <w:r w:rsidRPr="00B14FA3">
        <w:rPr>
          <w:rFonts w:ascii="Arial" w:eastAsia="黑体" w:hAnsi="Arial"/>
          <w:b/>
          <w:color w:val="000000"/>
          <w:kern w:val="0"/>
          <w:sz w:val="24"/>
          <w:szCs w:val="20"/>
        </w:rPr>
        <w:t>结论</w:t>
      </w:r>
    </w:p>
    <w:p w14:paraId="6450C208" w14:textId="77777777" w:rsidR="00B14FA3" w:rsidRPr="00B14FA3" w:rsidRDefault="00B14FA3" w:rsidP="00B14FA3">
      <w:r>
        <w:rPr>
          <w:color w:val="000000"/>
          <w:szCs w:val="21"/>
        </w:rPr>
        <w:t>在Abilene和GÉANT上的实验表明，样本级自适应多尺度加权可在较小参数增量下改善固定等权融合，并降低相对DLinear和LightTS的平均预测误差；代表性窗口曲线进一步表明，模型能够跟随主要变化趋势，但对局部突发峰值仍存在平滑偏差。GÉANT跨种子波动较大。后续将扩展更多网络、预测长度及拓扑约束，以进一步检验稳定性与泛化能力。</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0930A59F" w14:textId="77777777" w:rsidR="00B14FA3" w:rsidRPr="00B14FA3" w:rsidRDefault="00B14FA3" w:rsidP="00B14FA3">
      <w:pPr>
        <w:keepNext/>
        <w:widowControl/>
        <w:spacing w:before="120" w:after="40"/>
        <w:ind w:firstLine="0"/>
        <w:jc w:val="left"/>
        <w:rPr>
          <w:rFonts w:eastAsia="黑体"/>
          <w:b/>
          <w:kern w:val="0"/>
          <w:sz w:val="28"/>
          <w:szCs w:val="20"/>
        </w:rPr>
      </w:pPr>
      <w:r w:rsidRPr="00B14FA3">
        <w:rPr>
          <w:rFonts w:eastAsia="黑体"/>
          <w:b/>
          <w:kern w:val="0"/>
          <w:sz w:val="28"/>
          <w:szCs w:val="20"/>
        </w:rPr>
        <w:t>参考文献</w:t>
      </w:r>
    </w:p>
    <w:p w14:paraId="2A4E69C7" w14:textId="77777777" w:rsidR="00B14FA3" w:rsidRPr="00B14FA3" w:rsidRDefault="00B14FA3" w:rsidP="00B14FA3">
      <w:pPr>
        <w:ind w:left="420" w:hanging="420"/>
      </w:pPr>
      <w:bookmarkStart w:id="1" w:name="OLE_LINK4"/>
      <w:r w:rsidRPr="00B14FA3">
        <w:rPr>
          <w:sz w:val="18"/>
        </w:rPr>
        <w:t>[1] LOHRASBINASAB I, KESHAVARZ A, AMIN-NEJAD S, et al. From statistical- to machine learning-based network traffic prediction[J]. Transactions on Emerging Telecommunications Technologies, 2022, 33(4): e4394. DOI: 10.1002/ett.4394.</w:t>
      </w:r>
    </w:p>
    <w:p w14:paraId="1D3CC6CB" w14:textId="77777777" w:rsidR="00B14FA3" w:rsidRPr="00B14FA3" w:rsidRDefault="00B14FA3" w:rsidP="00B14FA3">
      <w:pPr>
        <w:ind w:left="420" w:hanging="420"/>
      </w:pPr>
      <w:r w:rsidRPr="00B14FA3">
        <w:rPr>
          <w:sz w:val="18"/>
        </w:rPr>
        <w:t>[2] QIN L, GU H, WEI W, et al. Spatio-temporal communication network traffic prediction method based on graph neural network[J]. Information Sciences, 2024, 679: 121003. DOI: 10.1016/j.ins.2024.121003.</w:t>
      </w:r>
    </w:p>
    <w:p w14:paraId="3FA328DF" w14:textId="77777777" w:rsidR="00B14FA3" w:rsidRPr="00B14FA3" w:rsidRDefault="00B14FA3" w:rsidP="00B14FA3">
      <w:pPr>
        <w:ind w:left="420" w:hanging="420"/>
      </w:pPr>
      <w:r w:rsidRPr="00B14FA3">
        <w:rPr>
          <w:sz w:val="18"/>
        </w:rPr>
        <w:t>[3] ZHOU J, HAN T, XIAO F, et al. Multiscale network traffic prediction method based on deep echo-state network for Internet of Things[J]. IEEE Internet of Things Journal, 2022, 9(21): 21862-21874. DOI: 10.1109/JIOT.2022.3181807.</w:t>
      </w:r>
    </w:p>
    <w:p w14:paraId="7163C5A8" w14:textId="77777777" w:rsidR="00B14FA3" w:rsidRPr="00B14FA3" w:rsidRDefault="00B14FA3" w:rsidP="00B14FA3">
      <w:pPr>
        <w:ind w:left="420" w:hanging="420"/>
      </w:pPr>
      <w:r w:rsidRPr="00B14FA3">
        <w:rPr>
          <w:sz w:val="18"/>
        </w:rPr>
        <w:t>[4] ZENG A, CHEN M, ZHANG L, et al. Are transformers effective for time series forecasting?[C]//Proceedings of the AAAI Conference on Artificial Intelligence. 2023, 37(9): 11121-11128. DOI: 10.1609/aaai.v37i9.26317.</w:t>
      </w:r>
    </w:p>
    <w:p w14:paraId="1BA2A549" w14:textId="77777777" w:rsidR="00B14FA3" w:rsidRPr="00B14FA3" w:rsidRDefault="00B14FA3" w:rsidP="00B14FA3">
      <w:pPr>
        <w:ind w:left="420" w:hanging="420"/>
      </w:pPr>
      <w:r>
        <w:rPr>
          <w:sz w:val="18"/>
        </w:rPr>
        <w:t>[5] WANG S, WU H, SHI X, et al. TimeMixer: decomposable multiscale mixing for time series forecasting[C]//International Conference on Learning Representations. 2024.</w:t>
      </w:r>
    </w:p>
    <w:p w14:paraId="32B65309" w14:textId="77777777" w:rsidR="00B14FA3" w:rsidRPr="00B14FA3" w:rsidRDefault="00B14FA3" w:rsidP="00B14FA3">
      <w:pPr>
        <w:ind w:left="420" w:hanging="420"/>
      </w:pPr>
      <w:r>
        <w:rPr>
          <w:sz w:val="18"/>
        </w:rPr>
        <w:t>[6] ZHANG T, ZHANG Y, CAO W, et al. Less is more: fast multivariate time series forecasting with light sampling-oriented MLP structures[EB/OL]. (2022-07-04)[2026-09-20]. https://arxiv.org/abs/2207.01186. DOI: 10.48550/arXiv.2207.01186.</w:t>
      </w:r>
    </w:p>
    <w:p w14:paraId="32B65309" w14:textId="77777777" w:rsidR="00B14FA3" w:rsidRPr="00B14FA3" w:rsidRDefault="00B14FA3" w:rsidP="00B14FA3">
      <w:pPr>
        <w:ind w:left="420" w:hanging="420"/>
      </w:pPr>
      <w:r>
        <w:rPr>
          <w:sz w:val="18"/>
        </w:rPr>
        <w:t>[7] KUREŠ M, KOUMAR J, HYNEK K. CESNET TS-Zoo: a library for reproducible analysis of network traffic time series[C]//2025 21st International Conference on Network and Service Management. 2025. DOI: 10.23919/CNSM67658.2025.11297513.</w:t>
      </w:r>
    </w:p>
    <w:p w14:paraId="32B65309" w14:textId="77777777" w:rsidR="00B14FA3" w:rsidRPr="00B14FA3" w:rsidRDefault="00B14FA3" w:rsidP="00B14FA3">
      <w:pPr>
        <w:ind w:left="420" w:hanging="420"/>
      </w:pPr>
      <w:r>
        <w:rPr>
          <w:sz w:val="18"/>
        </w:rPr>
        <w:t>[8] ZHANG Y, ROUGHAN M, DUFFIELD N, et al. Fast accurate computation of large-scale IP traffic matrices from link loads[J]. ACM SIGMETRICS Performance Evaluation Review, 2003, 31(1): 206-217. DOI: 10.1145/885651.781053.</w:t>
      </w:r>
    </w:p>
    <w:p w14:paraId="32B65309" w14:textId="77777777" w:rsidR="00B14FA3" w:rsidRPr="00B14FA3" w:rsidRDefault="00B14FA3" w:rsidP="00B14FA3">
      <w:pPr>
        <w:ind w:left="420" w:hanging="420"/>
      </w:pPr>
      <w:r>
        <w:rPr>
          <w:sz w:val="18"/>
        </w:rPr>
        <w:t>[9] UHLIG S, QUOITIN B, LEPROPRE J, et al. Providing public intradomain traffic matrices to the research community[J]. ACM SIGCOMM Computer Communication Review, 2006, 36(1): 83-86. DOI: 10.1145/1111322.1111341.</w:t>
      </w:r>
    </w:p>
    <w:p w14:paraId="49ABA0AF" w14:textId="77777777" w:rsidR="00B14FA3" w:rsidRPr="00B14FA3" w:rsidRDefault="00B14FA3" w:rsidP="00B14FA3">
      <w:pPr>
        <w:ind w:left="420" w:hanging="420"/>
      </w:pPr>
      <w:r>
        <w:rPr>
          <w:sz w:val="18"/>
        </w:rPr>
        <w:t>[10] 韦烜, 刘志华, 李青, 等. 大型IP网络流量矩阵分析预测的探讨研究[J]. 系统工程与电子技术, 2024, 46(6): 2164-2173. DOI: 10.12305/j.issn.1001-506X.2024.06.35.</w:t>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p>
    <w:p w14:paraId="58403822" w14:textId="77777777" w:rsidR="00B14FA3" w:rsidRPr="00B14FA3" w:rsidRDefault="00B14FA3" w:rsidP="00B14FA3">
      <w:pPr>
        <w:ind w:left="420" w:hanging="420"/>
      </w:pPr>
      <w:r>
        <w:rPr>
          <w:sz w:val="18"/>
        </w:rPr>
        <w:t>[11] 唐文杰, 肖一磊, 孔祥宇, 等. CycleLLH：一种基于周期性整合的新型网络流量预测模型[J]. 计算机学报, 2024, 47(12): 2867-2888. DOI: 10.11897/SP.J.1016.2024.02867.</w:t>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p>
    <w:bookmarkEnd w:id="1"/>
    <w:p w14:paraId="179C3C37" w14:textId="77777777" w:rsidR="00B14FA3" w:rsidRPr="00B14FA3" w:rsidRDefault="00B14FA3" w:rsidP="00B14FA3">
      <w:pPr>
        <w:ind w:left="420" w:hanging="420"/>
      </w:pPr>
    </w:p>
    <w:p w14:paraId="5FBEC971" w14:textId="77777777" w:rsidR="003E35DB" w:rsidRPr="00B14FA3" w:rsidRDefault="003E35DB" w:rsidP="00B14FA3"/>
    <w:sectPr w:rsidR="003E35DB" w:rsidRPr="00B14FA3" w:rsidSect="00F23B67">
      <w:headerReference w:type="default" r:id="rId9"/>
      <w:footerReference w:type="first" r:id="rId10"/>
      <w:pgSz w:w="11906" w:h="16838"/>
      <w:pgMar w:top="1757" w:right="1134" w:bottom="1417" w:left="1134"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22EBF2" w14:textId="77777777" w:rsidR="00E407AF" w:rsidRDefault="00E407AF" w:rsidP="00F23B67">
      <w:r>
        <w:separator/>
      </w:r>
    </w:p>
  </w:endnote>
  <w:endnote w:type="continuationSeparator" w:id="0">
    <w:p w14:paraId="2C78B4FB" w14:textId="77777777" w:rsidR="00E407AF" w:rsidRDefault="00E407AF" w:rsidP="00F23B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1DB3E" w14:textId="77777777" w:rsidR="00F23B67" w:rsidRDefault="00F23B67">
    <w:pPr>
      <w:jc w:val="left"/>
    </w:pPr>
    <w:r>
      <w:rPr>
        <w:sz w:val="16"/>
      </w:rPr>
      <w:t>收稿日期：</w:t>
    </w:r>
    <w:r>
      <w:rPr>
        <w:sz w:val="16"/>
      </w:rPr>
      <w:t>[</w:t>
    </w:r>
    <w:r>
      <w:rPr>
        <w:sz w:val="16"/>
      </w:rPr>
      <w:t>请填写，格式</w:t>
    </w:r>
    <w:r>
      <w:rPr>
        <w:sz w:val="16"/>
      </w:rPr>
      <w:t>YYYY-MM-DD]</w:t>
    </w:r>
  </w:p>
  <w:p w14:paraId="66649098" w14:textId="77777777" w:rsidR="00F23B67" w:rsidRDefault="00F23B67">
    <w:pPr>
      <w:jc w:val="left"/>
    </w:pPr>
    <w:r>
      <w:rPr>
        <w:sz w:val="16"/>
      </w:rPr>
      <w:t>基金项目：</w:t>
    </w:r>
    <w:r>
      <w:rPr>
        <w:sz w:val="16"/>
      </w:rPr>
      <w:t>[</w:t>
    </w:r>
    <w:r>
      <w:rPr>
        <w:sz w:val="16"/>
      </w:rPr>
      <w:t>基金来源</w:t>
    </w:r>
    <w:r>
      <w:rPr>
        <w:sz w:val="16"/>
      </w:rPr>
      <w:t>]</w:t>
    </w:r>
    <w:r>
      <w:rPr>
        <w:sz w:val="16"/>
      </w:rPr>
      <w:t>（</w:t>
    </w:r>
    <w:r>
      <w:rPr>
        <w:sz w:val="16"/>
      </w:rPr>
      <w:t>[</w:t>
    </w:r>
    <w:r>
      <w:rPr>
        <w:sz w:val="16"/>
      </w:rPr>
      <w:t>基金项目编号</w:t>
    </w:r>
    <w:r>
      <w:rPr>
        <w:sz w:val="16"/>
      </w:rPr>
      <w:t>]</w:t>
    </w:r>
    <w:r>
      <w:rPr>
        <w:sz w:val="16"/>
      </w:rPr>
      <w:t>）</w:t>
    </w:r>
  </w:p>
  <w:p w14:paraId="3B0C0477" w14:textId="77777777" w:rsidR="00F23B67" w:rsidRDefault="00F23B67">
    <w:pPr>
      <w:jc w:val="left"/>
    </w:pPr>
    <w:r>
      <w:rPr>
        <w:sz w:val="16"/>
      </w:rPr>
      <w:t>第一作者简介：</w:t>
    </w:r>
    <w:r>
      <w:rPr>
        <w:sz w:val="16"/>
      </w:rPr>
      <w:t>[</w:t>
    </w:r>
    <w:r>
      <w:rPr>
        <w:sz w:val="16"/>
      </w:rPr>
      <w:t>姓名</w:t>
    </w:r>
    <w:r>
      <w:rPr>
        <w:sz w:val="16"/>
      </w:rPr>
      <w:t>]</w:t>
    </w:r>
    <w:r>
      <w:rPr>
        <w:sz w:val="16"/>
      </w:rPr>
      <w:t>（</w:t>
    </w:r>
    <w:r>
      <w:rPr>
        <w:sz w:val="16"/>
      </w:rPr>
      <w:t>[</w:t>
    </w:r>
    <w:r>
      <w:rPr>
        <w:sz w:val="16"/>
      </w:rPr>
      <w:t>出生年</w:t>
    </w:r>
    <w:r>
      <w:rPr>
        <w:sz w:val="16"/>
      </w:rPr>
      <w:t>]—</w:t>
    </w:r>
    <w:r>
      <w:rPr>
        <w:sz w:val="16"/>
      </w:rPr>
      <w:t>），</w:t>
    </w:r>
    <w:r>
      <w:rPr>
        <w:sz w:val="16"/>
      </w:rPr>
      <w:t>[</w:t>
    </w:r>
    <w:r>
      <w:rPr>
        <w:sz w:val="16"/>
      </w:rPr>
      <w:t>性别（民族，汉族可省略）</w:t>
    </w:r>
    <w:r>
      <w:rPr>
        <w:sz w:val="16"/>
      </w:rPr>
      <w:t>]</w:t>
    </w:r>
    <w:r>
      <w:rPr>
        <w:sz w:val="16"/>
      </w:rPr>
      <w:t>，</w:t>
    </w:r>
    <w:r>
      <w:rPr>
        <w:sz w:val="16"/>
      </w:rPr>
      <w:t>[</w:t>
    </w:r>
    <w:r>
      <w:rPr>
        <w:sz w:val="16"/>
      </w:rPr>
      <w:t>职称</w:t>
    </w:r>
    <w:r>
      <w:rPr>
        <w:sz w:val="16"/>
      </w:rPr>
      <w:t>]</w:t>
    </w:r>
    <w:r>
      <w:rPr>
        <w:sz w:val="16"/>
      </w:rPr>
      <w:t>，</w:t>
    </w:r>
    <w:r>
      <w:rPr>
        <w:sz w:val="16"/>
      </w:rPr>
      <w:t>[</w:t>
    </w:r>
    <w:r>
      <w:rPr>
        <w:sz w:val="16"/>
      </w:rPr>
      <w:t>学位（若在读请注明）</w:t>
    </w:r>
    <w:r>
      <w:rPr>
        <w:sz w:val="16"/>
      </w:rPr>
      <w:t>]</w:t>
    </w:r>
    <w:r>
      <w:rPr>
        <w:sz w:val="16"/>
      </w:rPr>
      <w:t>，研究方向：</w:t>
    </w:r>
    <w:r>
      <w:rPr>
        <w:sz w:val="16"/>
      </w:rPr>
      <w:t>[</w:t>
    </w:r>
    <w:r>
      <w:rPr>
        <w:sz w:val="16"/>
      </w:rPr>
      <w:t>方向</w:t>
    </w:r>
    <w:r>
      <w:rPr>
        <w:sz w:val="16"/>
      </w:rPr>
      <w:t>1]</w:t>
    </w:r>
    <w:r>
      <w:rPr>
        <w:sz w:val="16"/>
      </w:rPr>
      <w:t>；</w:t>
    </w:r>
    <w:r>
      <w:rPr>
        <w:sz w:val="16"/>
      </w:rPr>
      <w:t>[</w:t>
    </w:r>
    <w:r>
      <w:rPr>
        <w:sz w:val="16"/>
      </w:rPr>
      <w:t>方向</w:t>
    </w:r>
    <w:r>
      <w:rPr>
        <w:sz w:val="16"/>
      </w:rPr>
      <w:t>2]</w:t>
    </w:r>
    <w:r>
      <w:rPr>
        <w:sz w:val="16"/>
      </w:rPr>
      <w:t>。</w:t>
    </w:r>
  </w:p>
  <w:p w14:paraId="57141CA0" w14:textId="77777777" w:rsidR="00F23B67" w:rsidRDefault="00F23B67">
    <w:pPr>
      <w:jc w:val="left"/>
    </w:pPr>
    <w:r>
      <w:rPr>
        <w:sz w:val="16"/>
      </w:rPr>
      <w:t>通信作者简介：</w:t>
    </w:r>
    <w:r>
      <w:rPr>
        <w:sz w:val="16"/>
      </w:rPr>
      <w:t>[</w:t>
    </w:r>
    <w:r>
      <w:rPr>
        <w:sz w:val="16"/>
      </w:rPr>
      <w:t>姓名</w:t>
    </w:r>
    <w:r>
      <w:rPr>
        <w:sz w:val="16"/>
      </w:rPr>
      <w:t>]</w:t>
    </w:r>
    <w:r>
      <w:rPr>
        <w:sz w:val="16"/>
      </w:rPr>
      <w:t>（</w:t>
    </w:r>
    <w:r>
      <w:rPr>
        <w:sz w:val="16"/>
      </w:rPr>
      <w:t>[</w:t>
    </w:r>
    <w:r>
      <w:rPr>
        <w:sz w:val="16"/>
      </w:rPr>
      <w:t>出生年</w:t>
    </w:r>
    <w:r>
      <w:rPr>
        <w:sz w:val="16"/>
      </w:rPr>
      <w:t>]—</w:t>
    </w:r>
    <w:r>
      <w:rPr>
        <w:sz w:val="16"/>
      </w:rPr>
      <w:t>），</w:t>
    </w:r>
    <w:r>
      <w:rPr>
        <w:sz w:val="16"/>
      </w:rPr>
      <w:t>[</w:t>
    </w:r>
    <w:r>
      <w:rPr>
        <w:sz w:val="16"/>
      </w:rPr>
      <w:t>性别（民族，汉族可省略）</w:t>
    </w:r>
    <w:r>
      <w:rPr>
        <w:sz w:val="16"/>
      </w:rPr>
      <w:t>]</w:t>
    </w:r>
    <w:r>
      <w:rPr>
        <w:sz w:val="16"/>
      </w:rPr>
      <w:t>，</w:t>
    </w:r>
    <w:r>
      <w:rPr>
        <w:sz w:val="16"/>
      </w:rPr>
      <w:t>[</w:t>
    </w:r>
    <w:r>
      <w:rPr>
        <w:sz w:val="16"/>
      </w:rPr>
      <w:t>职称</w:t>
    </w:r>
    <w:r>
      <w:rPr>
        <w:sz w:val="16"/>
      </w:rPr>
      <w:t>]</w:t>
    </w:r>
    <w:r>
      <w:rPr>
        <w:sz w:val="16"/>
      </w:rPr>
      <w:t>，</w:t>
    </w:r>
    <w:r>
      <w:rPr>
        <w:sz w:val="16"/>
      </w:rPr>
      <w:t>[</w:t>
    </w:r>
    <w:r>
      <w:rPr>
        <w:sz w:val="16"/>
      </w:rPr>
      <w:t>学位（若在读请注明）</w:t>
    </w:r>
    <w:r>
      <w:rPr>
        <w:sz w:val="16"/>
      </w:rPr>
      <w:t>]</w:t>
    </w:r>
    <w:r>
      <w:rPr>
        <w:sz w:val="16"/>
      </w:rPr>
      <w:t>，研究方向：</w:t>
    </w:r>
    <w:r>
      <w:rPr>
        <w:sz w:val="16"/>
      </w:rPr>
      <w:t>[</w:t>
    </w:r>
    <w:r>
      <w:rPr>
        <w:sz w:val="16"/>
      </w:rPr>
      <w:t>方向</w:t>
    </w:r>
    <w:r>
      <w:rPr>
        <w:sz w:val="16"/>
      </w:rPr>
      <w:t>1]</w:t>
    </w:r>
    <w:r>
      <w:rPr>
        <w:sz w:val="16"/>
      </w:rPr>
      <w:t>；</w:t>
    </w:r>
    <w:r>
      <w:rPr>
        <w:sz w:val="16"/>
      </w:rPr>
      <w:t>[</w:t>
    </w:r>
    <w:r>
      <w:rPr>
        <w:sz w:val="16"/>
      </w:rPr>
      <w:t>方向</w:t>
    </w:r>
    <w:r>
      <w:rPr>
        <w:sz w:val="16"/>
      </w:rPr>
      <w:t>2]</w:t>
    </w:r>
    <w:r>
      <w:rPr>
        <w:sz w:val="16"/>
      </w:rPr>
      <w:t>，电子邮箱：</w:t>
    </w:r>
    <w:r>
      <w:rPr>
        <w:sz w:val="16"/>
      </w:rPr>
      <w:t>[</w:t>
    </w:r>
    <w:r>
      <w:rPr>
        <w:sz w:val="16"/>
      </w:rPr>
      <w:t>邮箱</w:t>
    </w:r>
    <w:r>
      <w:rPr>
        <w:sz w:val="16"/>
      </w:rPr>
      <w:t>]</w:t>
    </w:r>
    <w:r>
      <w:rPr>
        <w:sz w:val="16"/>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6A2D67" w14:textId="77777777" w:rsidR="00E407AF" w:rsidRDefault="00E407AF" w:rsidP="00F23B67">
      <w:r>
        <w:separator/>
      </w:r>
    </w:p>
  </w:footnote>
  <w:footnote w:type="continuationSeparator" w:id="0">
    <w:p w14:paraId="5084105F" w14:textId="77777777" w:rsidR="00E407AF" w:rsidRDefault="00E407AF" w:rsidP="00F23B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AF2B7" w14:textId="77777777" w:rsidR="00F23B67" w:rsidRDefault="00F23B67">
    <w:pPr>
      <w:pStyle w:val="ae"/>
      <w:rPr>
        <w:rFonts w:hint="eastAsi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DC0"/>
    <w:rsid w:val="000376E3"/>
    <w:rsid w:val="00135816"/>
    <w:rsid w:val="00245F58"/>
    <w:rsid w:val="003341C1"/>
    <w:rsid w:val="0034143A"/>
    <w:rsid w:val="003B1B14"/>
    <w:rsid w:val="003E35DB"/>
    <w:rsid w:val="005032D3"/>
    <w:rsid w:val="006309B6"/>
    <w:rsid w:val="00662C25"/>
    <w:rsid w:val="00790E2F"/>
    <w:rsid w:val="009A3654"/>
    <w:rsid w:val="00B10182"/>
    <w:rsid w:val="00B14FA3"/>
    <w:rsid w:val="00B15C9D"/>
    <w:rsid w:val="00D21814"/>
    <w:rsid w:val="00D32DC3"/>
    <w:rsid w:val="00D53327"/>
    <w:rsid w:val="00D537D7"/>
    <w:rsid w:val="00DD4A44"/>
    <w:rsid w:val="00E407AF"/>
    <w:rsid w:val="00EE5DC0"/>
    <w:rsid w:val="00F071B1"/>
    <w:rsid w:val="00F23B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AA87B8"/>
  <w15:chartTrackingRefBased/>
  <w15:docId w15:val="{FA7D5525-0EA2-4C2A-B76F-620764768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23B67"/>
    <w:pPr>
      <w:widowControl w:val="0"/>
      <w:spacing w:after="0" w:line="240" w:lineRule="auto"/>
      <w:ind w:firstLine="420"/>
      <w:jc w:val="both"/>
    </w:pPr>
    <w:rPr>
      <w:rFonts w:ascii="Times New Roman" w:eastAsia="宋体" w:hAnsi="Times New Roman" w:cs="Times New Roman"/>
      <w:sz w:val="21"/>
      <w14:ligatures w14:val="none"/>
    </w:rPr>
  </w:style>
  <w:style w:type="paragraph" w:styleId="1">
    <w:name w:val="heading 1"/>
    <w:basedOn w:val="a"/>
    <w:next w:val="a"/>
    <w:link w:val="10"/>
    <w:uiPriority w:val="9"/>
    <w:qFormat/>
    <w:rsid w:val="00EE5DC0"/>
    <w:pPr>
      <w:keepNext/>
      <w:keepLines/>
      <w:spacing w:before="480" w:after="80" w:line="278" w:lineRule="auto"/>
      <w:ind w:firstLine="0"/>
      <w:jc w:val="left"/>
      <w:outlineLvl w:val="0"/>
    </w:pPr>
    <w:rPr>
      <w:rFonts w:asciiTheme="majorHAnsi" w:eastAsiaTheme="majorEastAsia" w:hAnsiTheme="majorHAnsi" w:cstheme="majorBidi"/>
      <w:color w:val="2F5496" w:themeColor="accent1" w:themeShade="BF"/>
      <w:sz w:val="48"/>
      <w:szCs w:val="48"/>
      <w14:ligatures w14:val="standardContextual"/>
    </w:rPr>
  </w:style>
  <w:style w:type="paragraph" w:styleId="2">
    <w:name w:val="heading 2"/>
    <w:basedOn w:val="a"/>
    <w:next w:val="a"/>
    <w:link w:val="20"/>
    <w:unhideWhenUsed/>
    <w:qFormat/>
    <w:rsid w:val="00EE5DC0"/>
    <w:pPr>
      <w:keepNext/>
      <w:keepLines/>
      <w:spacing w:before="160" w:after="80" w:line="278" w:lineRule="auto"/>
      <w:ind w:firstLine="0"/>
      <w:jc w:val="left"/>
      <w:outlineLvl w:val="1"/>
    </w:pPr>
    <w:rPr>
      <w:rFonts w:asciiTheme="majorHAnsi" w:eastAsiaTheme="majorEastAsia" w:hAnsiTheme="majorHAnsi" w:cstheme="majorBidi"/>
      <w:color w:val="2F5496" w:themeColor="accent1" w:themeShade="BF"/>
      <w:sz w:val="40"/>
      <w:szCs w:val="40"/>
      <w14:ligatures w14:val="standardContextual"/>
    </w:rPr>
  </w:style>
  <w:style w:type="paragraph" w:styleId="3">
    <w:name w:val="heading 3"/>
    <w:basedOn w:val="a"/>
    <w:next w:val="a"/>
    <w:link w:val="30"/>
    <w:uiPriority w:val="9"/>
    <w:semiHidden/>
    <w:unhideWhenUsed/>
    <w:qFormat/>
    <w:rsid w:val="00EE5DC0"/>
    <w:pPr>
      <w:keepNext/>
      <w:keepLines/>
      <w:spacing w:before="160" w:after="80" w:line="278" w:lineRule="auto"/>
      <w:ind w:firstLine="0"/>
      <w:jc w:val="left"/>
      <w:outlineLvl w:val="2"/>
    </w:pPr>
    <w:rPr>
      <w:rFonts w:asciiTheme="majorHAnsi" w:eastAsiaTheme="majorEastAsia" w:hAnsiTheme="majorHAnsi" w:cstheme="majorBidi"/>
      <w:color w:val="2F5496" w:themeColor="accent1" w:themeShade="BF"/>
      <w:sz w:val="32"/>
      <w:szCs w:val="32"/>
      <w14:ligatures w14:val="standardContextual"/>
    </w:rPr>
  </w:style>
  <w:style w:type="paragraph" w:styleId="4">
    <w:name w:val="heading 4"/>
    <w:basedOn w:val="a"/>
    <w:next w:val="a"/>
    <w:link w:val="40"/>
    <w:uiPriority w:val="9"/>
    <w:semiHidden/>
    <w:unhideWhenUsed/>
    <w:qFormat/>
    <w:rsid w:val="00EE5DC0"/>
    <w:pPr>
      <w:keepNext/>
      <w:keepLines/>
      <w:spacing w:before="80" w:after="40" w:line="278" w:lineRule="auto"/>
      <w:ind w:firstLine="0"/>
      <w:jc w:val="left"/>
      <w:outlineLvl w:val="3"/>
    </w:pPr>
    <w:rPr>
      <w:rFonts w:asciiTheme="minorHAnsi" w:eastAsiaTheme="minorEastAsia" w:hAnsiTheme="minorHAnsi" w:cstheme="majorBidi"/>
      <w:color w:val="2F5496" w:themeColor="accent1" w:themeShade="BF"/>
      <w:sz w:val="28"/>
      <w:szCs w:val="28"/>
      <w14:ligatures w14:val="standardContextual"/>
    </w:rPr>
  </w:style>
  <w:style w:type="paragraph" w:styleId="5">
    <w:name w:val="heading 5"/>
    <w:basedOn w:val="a"/>
    <w:next w:val="a"/>
    <w:link w:val="50"/>
    <w:uiPriority w:val="9"/>
    <w:semiHidden/>
    <w:unhideWhenUsed/>
    <w:qFormat/>
    <w:rsid w:val="00EE5DC0"/>
    <w:pPr>
      <w:keepNext/>
      <w:keepLines/>
      <w:spacing w:before="80" w:after="40" w:line="278" w:lineRule="auto"/>
      <w:ind w:firstLine="0"/>
      <w:jc w:val="left"/>
      <w:outlineLvl w:val="4"/>
    </w:pPr>
    <w:rPr>
      <w:rFonts w:asciiTheme="minorHAnsi" w:eastAsiaTheme="minorEastAsia" w:hAnsiTheme="minorHAnsi" w:cstheme="majorBidi"/>
      <w:color w:val="2F5496" w:themeColor="accent1" w:themeShade="BF"/>
      <w:sz w:val="24"/>
      <w14:ligatures w14:val="standardContextual"/>
    </w:rPr>
  </w:style>
  <w:style w:type="paragraph" w:styleId="6">
    <w:name w:val="heading 6"/>
    <w:basedOn w:val="a"/>
    <w:next w:val="a"/>
    <w:link w:val="60"/>
    <w:uiPriority w:val="9"/>
    <w:semiHidden/>
    <w:unhideWhenUsed/>
    <w:qFormat/>
    <w:rsid w:val="00EE5DC0"/>
    <w:pPr>
      <w:keepNext/>
      <w:keepLines/>
      <w:spacing w:before="40" w:line="278" w:lineRule="auto"/>
      <w:ind w:firstLine="0"/>
      <w:jc w:val="left"/>
      <w:outlineLvl w:val="5"/>
    </w:pPr>
    <w:rPr>
      <w:rFonts w:asciiTheme="minorHAnsi" w:eastAsiaTheme="minorEastAsia" w:hAnsiTheme="minorHAnsi" w:cstheme="majorBidi"/>
      <w:b/>
      <w:bCs/>
      <w:color w:val="2F5496" w:themeColor="accent1" w:themeShade="BF"/>
      <w:sz w:val="22"/>
      <w14:ligatures w14:val="standardContextual"/>
    </w:rPr>
  </w:style>
  <w:style w:type="paragraph" w:styleId="7">
    <w:name w:val="heading 7"/>
    <w:basedOn w:val="a"/>
    <w:next w:val="a"/>
    <w:link w:val="70"/>
    <w:uiPriority w:val="9"/>
    <w:semiHidden/>
    <w:unhideWhenUsed/>
    <w:qFormat/>
    <w:rsid w:val="00EE5DC0"/>
    <w:pPr>
      <w:keepNext/>
      <w:keepLines/>
      <w:spacing w:before="40" w:line="278" w:lineRule="auto"/>
      <w:ind w:firstLine="0"/>
      <w:jc w:val="left"/>
      <w:outlineLvl w:val="6"/>
    </w:pPr>
    <w:rPr>
      <w:rFonts w:asciiTheme="minorHAnsi" w:eastAsiaTheme="minorEastAsia" w:hAnsiTheme="minorHAnsi" w:cstheme="majorBidi"/>
      <w:b/>
      <w:bCs/>
      <w:color w:val="595959" w:themeColor="text1" w:themeTint="A6"/>
      <w:sz w:val="22"/>
      <w14:ligatures w14:val="standardContextual"/>
    </w:rPr>
  </w:style>
  <w:style w:type="paragraph" w:styleId="8">
    <w:name w:val="heading 8"/>
    <w:basedOn w:val="a"/>
    <w:next w:val="a"/>
    <w:link w:val="80"/>
    <w:uiPriority w:val="9"/>
    <w:semiHidden/>
    <w:unhideWhenUsed/>
    <w:qFormat/>
    <w:rsid w:val="00EE5DC0"/>
    <w:pPr>
      <w:keepNext/>
      <w:keepLines/>
      <w:spacing w:line="278" w:lineRule="auto"/>
      <w:ind w:firstLine="0"/>
      <w:jc w:val="left"/>
      <w:outlineLvl w:val="7"/>
    </w:pPr>
    <w:rPr>
      <w:rFonts w:asciiTheme="minorHAnsi" w:eastAsiaTheme="minorEastAsia" w:hAnsiTheme="minorHAnsi" w:cstheme="majorBidi"/>
      <w:color w:val="595959" w:themeColor="text1" w:themeTint="A6"/>
      <w:sz w:val="22"/>
      <w14:ligatures w14:val="standardContextual"/>
    </w:rPr>
  </w:style>
  <w:style w:type="paragraph" w:styleId="9">
    <w:name w:val="heading 9"/>
    <w:basedOn w:val="a"/>
    <w:next w:val="a"/>
    <w:link w:val="90"/>
    <w:uiPriority w:val="9"/>
    <w:semiHidden/>
    <w:unhideWhenUsed/>
    <w:qFormat/>
    <w:rsid w:val="00EE5DC0"/>
    <w:pPr>
      <w:keepNext/>
      <w:keepLines/>
      <w:spacing w:line="278" w:lineRule="auto"/>
      <w:ind w:firstLine="0"/>
      <w:jc w:val="left"/>
      <w:outlineLvl w:val="8"/>
    </w:pPr>
    <w:rPr>
      <w:rFonts w:asciiTheme="minorHAnsi" w:eastAsiaTheme="majorEastAsia" w:hAnsiTheme="minorHAnsi" w:cstheme="majorBidi"/>
      <w:color w:val="595959" w:themeColor="text1" w:themeTint="A6"/>
      <w:sz w:val="22"/>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E5DC0"/>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rsid w:val="00EE5DC0"/>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EE5DC0"/>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EE5DC0"/>
    <w:rPr>
      <w:rFonts w:cstheme="majorBidi"/>
      <w:color w:val="2F5496" w:themeColor="accent1" w:themeShade="BF"/>
      <w:sz w:val="28"/>
      <w:szCs w:val="28"/>
    </w:rPr>
  </w:style>
  <w:style w:type="character" w:customStyle="1" w:styleId="50">
    <w:name w:val="标题 5 字符"/>
    <w:basedOn w:val="a0"/>
    <w:link w:val="5"/>
    <w:uiPriority w:val="9"/>
    <w:semiHidden/>
    <w:rsid w:val="00EE5DC0"/>
    <w:rPr>
      <w:rFonts w:cstheme="majorBidi"/>
      <w:color w:val="2F5496" w:themeColor="accent1" w:themeShade="BF"/>
      <w:sz w:val="24"/>
    </w:rPr>
  </w:style>
  <w:style w:type="character" w:customStyle="1" w:styleId="60">
    <w:name w:val="标题 6 字符"/>
    <w:basedOn w:val="a0"/>
    <w:link w:val="6"/>
    <w:uiPriority w:val="9"/>
    <w:semiHidden/>
    <w:rsid w:val="00EE5DC0"/>
    <w:rPr>
      <w:rFonts w:cstheme="majorBidi"/>
      <w:b/>
      <w:bCs/>
      <w:color w:val="2F5496" w:themeColor="accent1" w:themeShade="BF"/>
    </w:rPr>
  </w:style>
  <w:style w:type="character" w:customStyle="1" w:styleId="70">
    <w:name w:val="标题 7 字符"/>
    <w:basedOn w:val="a0"/>
    <w:link w:val="7"/>
    <w:uiPriority w:val="9"/>
    <w:semiHidden/>
    <w:rsid w:val="00EE5DC0"/>
    <w:rPr>
      <w:rFonts w:cstheme="majorBidi"/>
      <w:b/>
      <w:bCs/>
      <w:color w:val="595959" w:themeColor="text1" w:themeTint="A6"/>
    </w:rPr>
  </w:style>
  <w:style w:type="character" w:customStyle="1" w:styleId="80">
    <w:name w:val="标题 8 字符"/>
    <w:basedOn w:val="a0"/>
    <w:link w:val="8"/>
    <w:uiPriority w:val="9"/>
    <w:semiHidden/>
    <w:rsid w:val="00EE5DC0"/>
    <w:rPr>
      <w:rFonts w:cstheme="majorBidi"/>
      <w:color w:val="595959" w:themeColor="text1" w:themeTint="A6"/>
    </w:rPr>
  </w:style>
  <w:style w:type="character" w:customStyle="1" w:styleId="90">
    <w:name w:val="标题 9 字符"/>
    <w:basedOn w:val="a0"/>
    <w:link w:val="9"/>
    <w:uiPriority w:val="9"/>
    <w:semiHidden/>
    <w:rsid w:val="00EE5DC0"/>
    <w:rPr>
      <w:rFonts w:eastAsiaTheme="majorEastAsia" w:cstheme="majorBidi"/>
      <w:color w:val="595959" w:themeColor="text1" w:themeTint="A6"/>
    </w:rPr>
  </w:style>
  <w:style w:type="paragraph" w:styleId="a3">
    <w:name w:val="Title"/>
    <w:basedOn w:val="a"/>
    <w:next w:val="a"/>
    <w:link w:val="a4"/>
    <w:uiPriority w:val="10"/>
    <w:qFormat/>
    <w:rsid w:val="00EE5DC0"/>
    <w:pPr>
      <w:spacing w:after="80"/>
      <w:ind w:firstLine="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4">
    <w:name w:val="标题 字符"/>
    <w:basedOn w:val="a0"/>
    <w:link w:val="a3"/>
    <w:uiPriority w:val="10"/>
    <w:rsid w:val="00EE5DC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E5DC0"/>
    <w:pPr>
      <w:numPr>
        <w:ilvl w:val="1"/>
      </w:numPr>
      <w:spacing w:after="160" w:line="278" w:lineRule="auto"/>
      <w:ind w:firstLine="420"/>
      <w:jc w:val="center"/>
    </w:pPr>
    <w:rPr>
      <w:rFonts w:asciiTheme="majorHAnsi" w:eastAsiaTheme="majorEastAsia" w:hAnsiTheme="majorHAnsi" w:cstheme="majorBidi"/>
      <w:color w:val="595959" w:themeColor="text1" w:themeTint="A6"/>
      <w:spacing w:val="15"/>
      <w:sz w:val="28"/>
      <w:szCs w:val="28"/>
      <w14:ligatures w14:val="standardContextual"/>
    </w:rPr>
  </w:style>
  <w:style w:type="character" w:customStyle="1" w:styleId="a6">
    <w:name w:val="副标题 字符"/>
    <w:basedOn w:val="a0"/>
    <w:link w:val="a5"/>
    <w:uiPriority w:val="11"/>
    <w:rsid w:val="00EE5DC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E5DC0"/>
    <w:pPr>
      <w:spacing w:before="160" w:after="160" w:line="278" w:lineRule="auto"/>
      <w:ind w:firstLine="0"/>
      <w:jc w:val="center"/>
    </w:pPr>
    <w:rPr>
      <w:rFonts w:asciiTheme="minorHAnsi" w:eastAsiaTheme="minorEastAsia" w:hAnsiTheme="minorHAnsi" w:cstheme="minorBidi"/>
      <w:i/>
      <w:iCs/>
      <w:color w:val="404040" w:themeColor="text1" w:themeTint="BF"/>
      <w:sz w:val="22"/>
      <w14:ligatures w14:val="standardContextual"/>
    </w:rPr>
  </w:style>
  <w:style w:type="character" w:customStyle="1" w:styleId="a8">
    <w:name w:val="引用 字符"/>
    <w:basedOn w:val="a0"/>
    <w:link w:val="a7"/>
    <w:uiPriority w:val="29"/>
    <w:rsid w:val="00EE5DC0"/>
    <w:rPr>
      <w:i/>
      <w:iCs/>
      <w:color w:val="404040" w:themeColor="text1" w:themeTint="BF"/>
    </w:rPr>
  </w:style>
  <w:style w:type="paragraph" w:styleId="a9">
    <w:name w:val="List Paragraph"/>
    <w:basedOn w:val="a"/>
    <w:uiPriority w:val="34"/>
    <w:qFormat/>
    <w:rsid w:val="00EE5DC0"/>
    <w:pPr>
      <w:spacing w:after="160" w:line="278" w:lineRule="auto"/>
      <w:ind w:left="720" w:firstLine="0"/>
      <w:contextualSpacing/>
      <w:jc w:val="left"/>
    </w:pPr>
    <w:rPr>
      <w:rFonts w:asciiTheme="minorHAnsi" w:eastAsiaTheme="minorEastAsia" w:hAnsiTheme="minorHAnsi" w:cstheme="minorBidi"/>
      <w:sz w:val="22"/>
      <w14:ligatures w14:val="standardContextual"/>
    </w:rPr>
  </w:style>
  <w:style w:type="character" w:styleId="aa">
    <w:name w:val="Intense Emphasis"/>
    <w:basedOn w:val="a0"/>
    <w:uiPriority w:val="21"/>
    <w:qFormat/>
    <w:rsid w:val="00EE5DC0"/>
    <w:rPr>
      <w:i/>
      <w:iCs/>
      <w:color w:val="2F5496" w:themeColor="accent1" w:themeShade="BF"/>
    </w:rPr>
  </w:style>
  <w:style w:type="paragraph" w:styleId="ab">
    <w:name w:val="Intense Quote"/>
    <w:basedOn w:val="a"/>
    <w:next w:val="a"/>
    <w:link w:val="ac"/>
    <w:uiPriority w:val="30"/>
    <w:qFormat/>
    <w:rsid w:val="00EE5DC0"/>
    <w:pPr>
      <w:pBdr>
        <w:top w:val="single" w:sz="4" w:space="10" w:color="2F5496" w:themeColor="accent1" w:themeShade="BF"/>
        <w:bottom w:val="single" w:sz="4" w:space="10" w:color="2F5496" w:themeColor="accent1" w:themeShade="BF"/>
      </w:pBdr>
      <w:spacing w:before="360" w:after="360" w:line="278" w:lineRule="auto"/>
      <w:ind w:left="864" w:right="864" w:firstLine="0"/>
      <w:jc w:val="center"/>
    </w:pPr>
    <w:rPr>
      <w:rFonts w:asciiTheme="minorHAnsi" w:eastAsiaTheme="minorEastAsia" w:hAnsiTheme="minorHAnsi" w:cstheme="minorBidi"/>
      <w:i/>
      <w:iCs/>
      <w:color w:val="2F5496" w:themeColor="accent1" w:themeShade="BF"/>
      <w:sz w:val="22"/>
      <w14:ligatures w14:val="standardContextual"/>
    </w:rPr>
  </w:style>
  <w:style w:type="character" w:customStyle="1" w:styleId="ac">
    <w:name w:val="明显引用 字符"/>
    <w:basedOn w:val="a0"/>
    <w:link w:val="ab"/>
    <w:uiPriority w:val="30"/>
    <w:rsid w:val="00EE5DC0"/>
    <w:rPr>
      <w:i/>
      <w:iCs/>
      <w:color w:val="2F5496" w:themeColor="accent1" w:themeShade="BF"/>
    </w:rPr>
  </w:style>
  <w:style w:type="character" w:styleId="ad">
    <w:name w:val="Intense Reference"/>
    <w:basedOn w:val="a0"/>
    <w:uiPriority w:val="32"/>
    <w:qFormat/>
    <w:rsid w:val="00EE5DC0"/>
    <w:rPr>
      <w:b/>
      <w:bCs/>
      <w:smallCaps/>
      <w:color w:val="2F5496" w:themeColor="accent1" w:themeShade="BF"/>
      <w:spacing w:val="5"/>
    </w:rPr>
  </w:style>
  <w:style w:type="paragraph" w:styleId="ae">
    <w:name w:val="header"/>
    <w:basedOn w:val="a"/>
    <w:link w:val="af"/>
    <w:unhideWhenUsed/>
    <w:rsid w:val="00F23B67"/>
    <w:pPr>
      <w:tabs>
        <w:tab w:val="center" w:pos="4153"/>
        <w:tab w:val="right" w:pos="8306"/>
      </w:tabs>
      <w:snapToGrid w:val="0"/>
      <w:spacing w:after="160"/>
      <w:ind w:firstLine="0"/>
      <w:jc w:val="center"/>
    </w:pPr>
    <w:rPr>
      <w:rFonts w:asciiTheme="minorHAnsi" w:eastAsiaTheme="minorEastAsia" w:hAnsiTheme="minorHAnsi" w:cstheme="minorBidi"/>
      <w:sz w:val="18"/>
      <w:szCs w:val="18"/>
      <w14:ligatures w14:val="standardContextual"/>
    </w:rPr>
  </w:style>
  <w:style w:type="character" w:customStyle="1" w:styleId="af">
    <w:name w:val="页眉 字符"/>
    <w:basedOn w:val="a0"/>
    <w:link w:val="ae"/>
    <w:rsid w:val="00F23B67"/>
    <w:rPr>
      <w:sz w:val="18"/>
      <w:szCs w:val="18"/>
    </w:rPr>
  </w:style>
  <w:style w:type="paragraph" w:styleId="af0">
    <w:name w:val="footer"/>
    <w:basedOn w:val="a"/>
    <w:link w:val="af1"/>
    <w:uiPriority w:val="99"/>
    <w:unhideWhenUsed/>
    <w:rsid w:val="00F23B67"/>
    <w:pPr>
      <w:tabs>
        <w:tab w:val="center" w:pos="4153"/>
        <w:tab w:val="right" w:pos="8306"/>
      </w:tabs>
      <w:snapToGrid w:val="0"/>
      <w:spacing w:after="160"/>
      <w:ind w:firstLine="0"/>
      <w:jc w:val="left"/>
    </w:pPr>
    <w:rPr>
      <w:rFonts w:asciiTheme="minorHAnsi" w:eastAsiaTheme="minorEastAsia" w:hAnsiTheme="minorHAnsi" w:cstheme="minorBidi"/>
      <w:sz w:val="18"/>
      <w:szCs w:val="18"/>
      <w14:ligatures w14:val="standardContextual"/>
    </w:rPr>
  </w:style>
  <w:style w:type="character" w:customStyle="1" w:styleId="af1">
    <w:name w:val="页脚 字符"/>
    <w:basedOn w:val="a0"/>
    <w:link w:val="af0"/>
    <w:uiPriority w:val="99"/>
    <w:rsid w:val="00F23B67"/>
    <w:rPr>
      <w:sz w:val="18"/>
      <w:szCs w:val="18"/>
    </w:rPr>
  </w:style>
  <w:style w:type="paragraph" w:customStyle="1" w:styleId="11">
    <w:name w:val="标题 11"/>
    <w:rsid w:val="00F23B67"/>
    <w:pPr>
      <w:keepNext/>
      <w:spacing w:before="120" w:after="40" w:line="240" w:lineRule="auto"/>
    </w:pPr>
    <w:rPr>
      <w:rFonts w:ascii="Times New Roman" w:eastAsia="黑体" w:hAnsi="Times New Roman" w:cs="Times New Roman"/>
      <w:b/>
      <w:kern w:val="0"/>
      <w:sz w:val="28"/>
      <w:szCs w:val="20"/>
      <w14:ligatures w14:val="none"/>
    </w:rPr>
  </w:style>
  <w:style w:type="paragraph" w:customStyle="1" w:styleId="Equation">
    <w:name w:val="Equation"/>
    <w:rsid w:val="00F23B67"/>
    <w:pPr>
      <w:keepLines/>
      <w:spacing w:before="40" w:after="40" w:line="240" w:lineRule="auto"/>
    </w:pPr>
    <w:rPr>
      <w:rFonts w:ascii="Cambria Math" w:eastAsia="Cambria Math" w:hAnsi="Cambria Math" w:cs="Times New Roman"/>
      <w:kern w:val="0"/>
      <w:sz w:val="21"/>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1.xml"/><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481</TotalTime>
  <Pages>4</Pages>
  <Words>1601</Words>
  <Characters>9127</Characters>
  <Application>Microsoft Office Word</Application>
  <DocSecurity>0</DocSecurity>
  <Lines>76</Lines>
  <Paragraphs>21</Paragraphs>
  <ScaleCrop>false</ScaleCrop>
  <Company/>
  <LinksUpToDate>false</LinksUpToDate>
  <CharactersWithSpaces>10707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Alice Wonderland</dc:creator>
  <cp:keywords/>
  <dc:description/>
  <cp:lastModifiedBy>Alice Wonderland</cp:lastModifiedBy>
  <cp:revision>1</cp:revision>
  <dcterms:created xsi:type="dcterms:W3CDTF">2026-09-15T14:23:00Z</dcterms:created>
  <dcterms:modified xsi:type="dcterms:W3CDTF">2026-09-20T12:33:00Z</dcterms:modified>
</cp:coreProperties>
</file>