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sidRPr="00B14FA3">
        <w:rPr>
          <w:rFonts w:eastAsia="宋体"/>
          <w:sz w:val="21"/>
          <w:szCs w:val="21"/>
        </w:rPr>
        <w:t>设预处理后的多变量流量序列为</w:t>
      </w:r>
      <w:r w:rsidRPr="00B14FA3">
        <w:rPr>
          <w:rFonts w:eastAsia="宋体"/>
          <w:sz w:val="21"/>
          <w:szCs w:val="21"/>
        </w:rPr>
        <w:t xml:space="preserve"> x_t</w:t>
      </w:r>
      <w:r w:rsidRPr="00B14FA3">
        <w:rPr>
          <w:rFonts w:ascii="Cambria Math" w:hAnsi="Cambria Math" w:cs="Cambria Math"/>
        </w:rPr>
        <w:t>∈</w:t>
      </w:r>
      <w:r w:rsidRPr="00B14FA3">
        <w:rPr>
          <w:rFonts w:eastAsia="宋体"/>
          <w:sz w:val="21"/>
          <w:szCs w:val="21"/>
        </w:rPr>
        <w:t>R^C</w:t>
      </w:r>
      <w:r w:rsidRPr="00B14FA3">
        <w:rPr>
          <w:rFonts w:eastAsia="宋体"/>
          <w:sz w:val="21"/>
          <w:szCs w:val="21"/>
        </w:rPr>
        <w:t>，其中</w:t>
      </w:r>
      <w:r w:rsidRPr="00B14FA3">
        <w:rPr>
          <w:rFonts w:eastAsia="宋体"/>
          <w:sz w:val="21"/>
          <w:szCs w:val="21"/>
        </w:rPr>
        <w:t>t</w:t>
      </w:r>
      <w:r w:rsidRPr="00B14FA3">
        <w:rPr>
          <w:rFonts w:eastAsia="宋体"/>
          <w:sz w:val="21"/>
          <w:szCs w:val="21"/>
        </w:rPr>
        <w:t>为时间索引，</w:t>
      </w:r>
      <w:r w:rsidRPr="00B14FA3">
        <w:rPr>
          <w:rFonts w:eastAsia="宋体"/>
          <w:sz w:val="21"/>
          <w:szCs w:val="21"/>
        </w:rPr>
        <w:t>C</w:t>
      </w:r>
      <w:r w:rsidRPr="00B14FA3">
        <w:rPr>
          <w:rFonts w:eastAsia="宋体"/>
          <w:sz w:val="21"/>
          <w:szCs w:val="21"/>
        </w:rPr>
        <w:t>为</w:t>
      </w:r>
      <w:r w:rsidRPr="00B14FA3">
        <w:rPr>
          <w:rFonts w:eastAsia="宋体"/>
          <w:sz w:val="21"/>
          <w:szCs w:val="21"/>
        </w:rPr>
        <w:t>OD</w:t>
      </w:r>
      <w:r w:rsidRPr="00B14FA3">
        <w:rPr>
          <w:rFonts w:eastAsia="宋体"/>
          <w:sz w:val="21"/>
          <w:szCs w:val="21"/>
        </w:rPr>
        <w:t>变量数。第</w:t>
      </w:r>
      <w:r w:rsidRPr="00B14FA3">
        <w:rPr>
          <w:rFonts w:eastAsia="宋体"/>
          <w:sz w:val="21"/>
          <w:szCs w:val="21"/>
        </w:rPr>
        <w:t>n</w:t>
      </w:r>
      <w:r w:rsidRPr="00B14FA3">
        <w:rPr>
          <w:rFonts w:eastAsia="宋体"/>
          <w:sz w:val="21"/>
          <w:szCs w:val="21"/>
        </w:rPr>
        <w:t>个样本的输入</w:t>
      </w:r>
      <w:r w:rsidRPr="00B14FA3">
        <w:rPr>
          <w:rFonts w:eastAsia="宋体"/>
          <w:sz w:val="21"/>
          <w:szCs w:val="21"/>
        </w:rPr>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rPr>
          <w:rFonts w:eastAsia="宋体"/>
          <w:sz w:val="21"/>
          <w:szCs w:val="21"/>
        </w:rPr>
        <w:t>本文取输入长度</w:t>
      </w:r>
      <w:r w:rsidRPr="00B14FA3">
        <w:rPr>
          <w:rFonts w:eastAsia="宋体"/>
          <w:sz w:val="21"/>
          <w:szCs w:val="21"/>
        </w:rPr>
        <w:t>L=96</w:t>
      </w:r>
      <w:r w:rsidRPr="00B14FA3">
        <w:rPr>
          <w:rFonts w:eastAsia="宋体"/>
          <w:sz w:val="21"/>
          <w:szCs w:val="21"/>
        </w:rPr>
        <w:t>、预测长度</w:t>
      </w:r>
      <w:r w:rsidRPr="00B14FA3">
        <w:rPr>
          <w:rFonts w:eastAsia="宋体"/>
          <w:sz w:val="21"/>
          <w:szCs w:val="21"/>
        </w:rPr>
        <w:t>H=24</w:t>
      </w:r>
      <w:r w:rsidRPr="00B14FA3">
        <w:rPr>
          <w:rFonts w:eastAsia="宋体"/>
          <w:sz w:val="21"/>
          <w:szCs w:val="21"/>
        </w:rPr>
        <w:t>、变量数</w:t>
      </w:r>
      <w:r w:rsidRPr="00B14FA3">
        <w:rPr>
          <w:rFonts w:eastAsia="宋体"/>
          <w:sz w:val="21"/>
          <w:szCs w:val="21"/>
        </w:rPr>
        <w:t>C=144</w:t>
      </w:r>
      <w:r w:rsidRPr="00B14FA3">
        <w:rPr>
          <w:rFonts w:eastAsia="宋体"/>
          <w:sz w:val="21"/>
          <w:szCs w:val="21"/>
        </w:rPr>
        <w:t>，学习映射</w:t>
      </w:r>
      <w:r w:rsidRPr="00B14FA3">
        <w:rPr>
          <w:rFonts w:eastAsia="宋体"/>
          <w:sz w:val="21"/>
          <w:szCs w:val="21"/>
        </w:rPr>
        <w:t>Ŷ_n=f_θ(X_n)</w:t>
      </w:r>
      <w:r w:rsidRPr="00B14FA3">
        <w:rPr>
          <w:rFonts w:eastAsia="宋体"/>
          <w:sz w:val="21"/>
          <w:szCs w:val="21"/>
        </w:rPr>
        <w:t>。原始非负流量</w:t>
      </w:r>
      <w:r w:rsidRPr="00B14FA3">
        <w:rPr>
          <w:rFonts w:eastAsia="宋体"/>
          <w:sz w:val="21"/>
          <w:szCs w:val="21"/>
        </w:rPr>
        <w:t>v_{t,c}</w:t>
      </w:r>
      <w:r w:rsidRPr="00B14FA3">
        <w:rPr>
          <w:rFonts w:eastAsia="宋体"/>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rPr>
          <w:rFonts w:eastAsia="宋体"/>
          <w:sz w:val="21"/>
          <w:szCs w:val="21"/>
        </w:rPr>
        <w:t>其中</w:t>
      </w:r>
      <w:r w:rsidRPr="00B14FA3">
        <w:rPr>
          <w:rFonts w:eastAsia="宋体"/>
          <w:sz w:val="21"/>
          <w:szCs w:val="21"/>
        </w:rPr>
        <w:t>μ_c^{tr}</w:t>
      </w:r>
      <w:r w:rsidRPr="00B14FA3">
        <w:rPr>
          <w:rFonts w:eastAsia="宋体"/>
          <w:sz w:val="21"/>
          <w:szCs w:val="21"/>
        </w:rPr>
        <w:t>和</w:t>
      </w:r>
      <w:r w:rsidRPr="00B14FA3">
        <w:rPr>
          <w:rFonts w:eastAsia="宋体"/>
          <w:sz w:val="21"/>
          <w:szCs w:val="21"/>
        </w:rPr>
        <w:t>σ_c^{tr}</w:t>
      </w:r>
      <w:r w:rsidRPr="00B14FA3">
        <w:rPr>
          <w:rFonts w:eastAsia="宋体"/>
          <w:sz w:val="21"/>
          <w:szCs w:val="21"/>
        </w:rPr>
        <w:t>只由训练集计算，再用于验证集和测试集，避免未来信息进入训练过程。时间点按</w:t>
      </w:r>
      <w:r w:rsidRPr="00B14FA3">
        <w:rPr>
          <w:rFonts w:eastAsia="宋体"/>
          <w:sz w:val="21"/>
          <w:szCs w:val="21"/>
        </w:rPr>
        <w:t>6</w:t>
      </w:r>
      <w:r w:rsidRPr="00B14FA3">
        <w:rPr>
          <w:rFonts w:ascii="Cambria Math" w:hAnsi="Cambria Math" w:cs="Cambria Math"/>
        </w:rPr>
        <w:t>∶</w:t>
      </w:r>
      <w:r w:rsidRPr="00B14FA3">
        <w:rPr>
          <w:rFonts w:eastAsia="宋体"/>
          <w:sz w:val="21"/>
          <w:szCs w:val="21"/>
        </w:rPr>
        <w:t>2</w:t>
      </w:r>
      <w:r w:rsidRPr="00B14FA3">
        <w:rPr>
          <w:rFonts w:ascii="Cambria Math" w:hAnsi="Cambria Math" w:cs="Cambria Math"/>
        </w:rPr>
        <w:t>∶</w:t>
      </w:r>
      <w:r w:rsidRPr="00B14FA3">
        <w:rPr>
          <w:rFonts w:eastAsia="宋体"/>
          <w:sz w:val="21"/>
          <w:szCs w:val="21"/>
        </w:rPr>
        <w:t>2</w:t>
      </w:r>
      <w:r w:rsidRPr="00B14FA3">
        <w:rPr>
          <w:rFonts w:eastAsia="宋体"/>
          <w:sz w:val="21"/>
          <w:szCs w:val="21"/>
        </w:rPr>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rPr>
        <w:t>q=25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rPr>
          <w:rFonts w:eastAsia="宋体"/>
          <w:sz w:val="21"/>
          <w:szCs w:val="21"/>
        </w:rPr>
        <w:t>趋势项</w:t>
      </w:r>
      <w:r w:rsidRPr="00B14FA3">
        <w:rPr>
          <w:rFonts w:eastAsia="宋体"/>
          <w:sz w:val="21"/>
          <w:szCs w:val="21"/>
        </w:rPr>
        <w:t>T^{(s)}</w:t>
      </w:r>
      <w:r w:rsidRPr="00B14FA3">
        <w:rPr>
          <w:rFonts w:eastAsia="宋体"/>
          <w:sz w:val="21"/>
          <w:szCs w:val="21"/>
        </w:rPr>
        <w:t>和余项</w:t>
      </w:r>
      <w:r w:rsidRPr="00B14FA3">
        <w:rPr>
          <w:rFonts w:eastAsia="宋体"/>
          <w:sz w:val="21"/>
          <w:szCs w:val="21"/>
        </w:rPr>
        <w:t>R^{(s)}</w:t>
      </w:r>
      <w:r w:rsidRPr="00B14FA3">
        <w:rPr>
          <w:rFonts w:eastAsia="宋体"/>
          <w:sz w:val="21"/>
          <w:szCs w:val="21"/>
        </w:rPr>
        <w:t>沿时间维分别通过线性层映射到预测长度</w:t>
      </w:r>
      <w:r w:rsidRPr="00B14FA3">
        <w:rPr>
          <w:rFonts w:eastAsia="宋体"/>
          <w:sz w:val="21"/>
          <w:szCs w:val="21"/>
        </w:rPr>
        <w:t>H</w:t>
      </w:r>
      <w:r w:rsidRPr="00B14FA3">
        <w:rPr>
          <w:rFonts w:eastAsia="宋体"/>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sidRPr="00B14FA3">
        <w:rPr>
          <w:rFonts w:eastAsia="宋体"/>
          <w:sz w:val="21"/>
          <w:szCs w:val="21"/>
        </w:rPr>
        <w:t>固定平均默认三个尺度对每个窗口同等重要，难以反映流量状态差异。本文从原始输入</w:t>
      </w:r>
      <w:r w:rsidRPr="00B14FA3">
        <w:rPr>
          <w:rFonts w:eastAsia="宋体"/>
          <w:sz w:val="21"/>
          <w:szCs w:val="21"/>
        </w:rPr>
        <w:t>X_n</w:t>
      </w:r>
      <w:r w:rsidRPr="00B14FA3">
        <w:rPr>
          <w:rFonts w:eastAsia="宋体"/>
          <w:sz w:val="21"/>
          <w:szCs w:val="21"/>
        </w:rPr>
        <w:t>提取四维统计向量</w:t>
      </w:r>
      <w:r w:rsidRPr="00B14FA3">
        <w:rPr>
          <w:rFonts w:eastAsia="宋体"/>
          <w:sz w:val="21"/>
          <w:szCs w:val="21"/>
        </w:rPr>
        <w:t>z_n=[μ_n,σ_n,ℓ_n,d_n]</w:t>
      </w:r>
      <w:r w:rsidRPr="00B14FA3">
        <w:rPr>
          <w:rFonts w:eastAsia="宋体"/>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rPr>
          <w:rFonts w:eastAsia="宋体"/>
          <w:sz w:val="21"/>
          <w:szCs w:val="21"/>
        </w:rPr>
        <w:t>μ_n</w:t>
      </w:r>
      <w:r w:rsidRPr="00B14FA3">
        <w:rPr>
          <w:rFonts w:eastAsia="宋体"/>
          <w:sz w:val="21"/>
          <w:szCs w:val="21"/>
        </w:rPr>
        <w:t>描述窗口总体水平，</w:t>
      </w:r>
      <w:r w:rsidRPr="00B14FA3">
        <w:rPr>
          <w:rFonts w:eastAsia="宋体"/>
          <w:sz w:val="21"/>
          <w:szCs w:val="21"/>
        </w:rPr>
        <w:t>σ_n</w:t>
      </w:r>
      <w:r w:rsidRPr="00B14FA3">
        <w:rPr>
          <w:rFonts w:eastAsia="宋体"/>
          <w:sz w:val="21"/>
          <w:szCs w:val="21"/>
        </w:rPr>
        <w:t>描述离散程度，</w:t>
      </w:r>
      <w:r w:rsidRPr="00B14FA3">
        <w:rPr>
          <w:rFonts w:eastAsia="宋体"/>
          <w:sz w:val="21"/>
          <w:szCs w:val="21"/>
        </w:rPr>
        <w:t>ℓ_n</w:t>
      </w:r>
      <w:r w:rsidRPr="00B14FA3">
        <w:rPr>
          <w:rFonts w:eastAsia="宋体"/>
          <w:sz w:val="21"/>
          <w:szCs w:val="21"/>
        </w:rPr>
        <w:t>描述最近时刻状态，</w:t>
      </w:r>
      <w:r w:rsidRPr="00B14FA3">
        <w:rPr>
          <w:rFonts w:eastAsia="宋体"/>
          <w:sz w:val="21"/>
          <w:szCs w:val="21"/>
        </w:rPr>
        <w:t>d_n</w:t>
      </w:r>
      <w:r w:rsidRPr="00B14FA3">
        <w:rPr>
          <w:rFonts w:eastAsia="宋体"/>
          <w:sz w:val="21"/>
          <w:szCs w:val="21"/>
        </w:rPr>
        <w:t>描述平均变化强度。四维向量经隐藏维数为</w:t>
      </w:r>
      <w:r w:rsidRPr="00B14FA3">
        <w:rPr>
          <w:rFonts w:eastAsia="宋体"/>
          <w:sz w:val="21"/>
          <w:szCs w:val="21"/>
        </w:rPr>
        <w:t>16</w:t>
      </w:r>
      <w:r w:rsidRPr="00B14FA3">
        <w:rPr>
          <w:rFonts w:eastAsia="宋体"/>
          <w:sz w:val="21"/>
          <w:szCs w:val="21"/>
        </w:rPr>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rPr>
          <w:rFonts w:eastAsia="宋体"/>
          <w:sz w:val="21"/>
          <w:szCs w:val="21"/>
        </w:rPr>
        <w:t>每个样本单独生成一组权重，同一样本的全部</w:t>
      </w:r>
      <w:r w:rsidRPr="00B14FA3">
        <w:rPr>
          <w:rFonts w:eastAsia="宋体"/>
          <w:sz w:val="21"/>
          <w:szCs w:val="21"/>
        </w:rPr>
        <w:t>OD</w:t>
      </w:r>
      <w:r w:rsidRPr="00B14FA3">
        <w:rPr>
          <w:rFonts w:eastAsia="宋体"/>
          <w:sz w:val="21"/>
          <w:szCs w:val="21"/>
        </w:rPr>
        <w:t>变量共享该组权重。这是一种样本级而不是变量级路由，可控制复杂度并便于解释。固定等权消融令</w:t>
      </w:r>
      <w:r w:rsidRPr="00B14FA3">
        <w:rPr>
          <w:rFonts w:eastAsia="宋体"/>
          <w:sz w:val="21"/>
          <w:szCs w:val="21"/>
        </w:rPr>
        <w:t>α_{n,s}=1/3</w:t>
      </w:r>
      <w:r w:rsidRPr="00B14FA3">
        <w:rPr>
          <w:rFonts w:eastAsia="宋体"/>
          <w:sz w:val="21"/>
          <w:szCs w:val="21"/>
        </w:rPr>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1.5 </w:t>
      </w:r>
      <w:r w:rsidRPr="00B14FA3">
        <w:rPr>
          <w:rFonts w:eastAsia="黑体"/>
          <w:b/>
          <w:bCs/>
          <w:szCs w:val="21"/>
          <w:sz w:val="21"/>
        </w:rPr>
        <w:t>辅助频域门控</w:t>
      </w:r>
    </w:p>
    <w:p w14:paraId="085D485B" w14:textId="77777777" w:rsidR="00B14FA3" w:rsidRPr="00B14FA3" w:rsidRDefault="00B14FA3" w:rsidP="00B14FA3">
      <w:pPr>
        <w:spacing w:line="360" w:lineRule="auto"/>
      </w:pPr>
      <w:r w:rsidRPr="00B14FA3">
        <w:rPr>
          <w:rFonts w:eastAsia="宋体"/>
          <w:sz w:val="21"/>
          <w:szCs w:val="21"/>
        </w:rPr>
        <w:t>对长度</w:t>
      </w:r>
      <w:r w:rsidRPr="00B14FA3">
        <w:rPr>
          <w:rFonts w:eastAsia="宋体"/>
          <w:sz w:val="21"/>
          <w:szCs w:val="21"/>
        </w:rPr>
        <w:t>L_s=L/s</w:t>
      </w:r>
      <w:r w:rsidRPr="00B14FA3">
        <w:rPr>
          <w:rFonts w:eastAsia="宋体"/>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rPr>
          <w:rFonts w:eastAsia="宋体"/>
          <w:sz w:val="21"/>
          <w:szCs w:val="21"/>
        </w:rPr>
        <w:t>实值快速傅里叶变换（real fast Fourier transform，RFFT）</w:t>
      </w:r>
      <w:r w:rsidRPr="00B14FA3">
        <w:rPr>
          <w:rFonts w:eastAsia="宋体"/>
          <w:sz w:val="21"/>
          <w:szCs w:val="21"/>
        </w:rPr>
        <w:t>共有</w:t>
      </w:r>
      <w:r w:rsidRPr="00B14FA3">
        <w:rPr>
          <w:rFonts w:eastAsia="宋体"/>
          <w:sz w:val="21"/>
          <w:szCs w:val="21"/>
        </w:rPr>
        <w:t>L_s/2+1</w:t>
      </w:r>
      <w:r w:rsidRPr="00B14FA3">
        <w:rPr>
          <w:rFonts w:eastAsia="宋体"/>
          <w:sz w:val="21"/>
          <w:szCs w:val="21"/>
        </w:rPr>
        <w:t>个非负频率。按比例</w:t>
      </w:r>
      <w:r w:rsidRPr="00B14FA3">
        <w:rPr>
          <w:rFonts w:eastAsia="宋体"/>
          <w:sz w:val="21"/>
          <w:szCs w:val="21"/>
        </w:rPr>
        <w:t>r</w:t>
      </w:r>
      <w:r w:rsidRPr="00B14FA3">
        <w:rPr>
          <w:rFonts w:eastAsia="宋体"/>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1.6 </w:t>
      </w:r>
      <w:r w:rsidRPr="00B14FA3">
        <w:rPr>
          <w:rFonts w:eastAsia="黑体"/>
          <w:b/>
          <w:bCs/>
          <w:szCs w:val="21"/>
          <w:sz w:val="21"/>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rPr>
        <w:t>r=0.50</w:t>
      </w:r>
      <w:r w:rsidRPr="00B14FA3">
        <w:rPr>
          <w:rFonts w:eastAsia="宋体"/>
          <w:sz w:val="21"/>
          <w:szCs w:val="21"/>
        </w:rPr>
        <w:t>和</w:t>
      </w:r>
      <w:r w:rsidRPr="00B14FA3">
        <w:rPr>
          <w:rFonts w:eastAsia="宋体"/>
          <w:sz w:val="21"/>
          <w:szCs w:val="21"/>
        </w:rPr>
        <w:t>r=0.75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rFonts w:eastAsia="宋体"/>
          <w:color w:val="000000"/>
          <w:sz w:val="21"/>
          <w:szCs w:val="21"/>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rFonts w:eastAsia="宋体"/>
          <w:color w:val="000000"/>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194"/>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194"/>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rFonts w:eastAsia="宋体"/>
          <w:color w:val="000000"/>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rFonts w:eastAsia="宋体"/>
                <w:color w:val="000000"/>
                <w:sz w:val="21"/>
                <w:szCs w:val="21"/>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rFonts w:eastAsia="宋体"/>
                <w:color w:val="000000"/>
                <w:sz w:val="21"/>
                <w:szCs w:val="21"/>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942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9423"/>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rFonts w:eastAsia="宋体"/>
          <w:color w:val="000000"/>
          <w:sz w:val="21"/>
          <w:szCs w:val="21"/>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38028"/>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38028"/>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70744"/>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70744"/>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70422"/>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70422"/>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