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59A33F" w14:textId="77777777" w:rsidR="00B14FA3" w:rsidRPr="00B14FA3" w:rsidRDefault="00B14FA3" w:rsidP="00B14FA3">
      <w:pPr>
        <w:spacing w:after="60"/>
        <w:ind w:firstLine="0"/>
        <w:jc w:val="center"/>
      </w:pPr>
      <w:bookmarkStart w:id="0" w:name="OLE_LINK1"/>
      <w:r w:rsidRPr="00B14FA3">
        <w:rPr>
          <w:rFonts w:ascii="Arial" w:eastAsia="黑体" w:hAnsi="Arial" w:cs="Arial"/>
          <w:b/>
          <w:color w:val="000000"/>
          <w:sz w:val="36"/>
          <w:szCs w:val="36"/>
        </w:rPr>
        <w:t>基于自适应多尺度加权的多变量网络流量预测方法</w:t>
      </w:r>
    </w:p>
    <w:bookmarkEnd w:id="0"/>
    <w:p w14:paraId="57D86241" w14:textId="77777777" w:rsidR="00B14FA3" w:rsidRPr="00B14FA3" w:rsidRDefault="00B14FA3" w:rsidP="00B14FA3">
      <w:pPr>
        <w:ind w:firstLine="0"/>
        <w:jc w:val="center"/>
      </w:pPr>
      <w:r w:rsidRPr="00B14FA3">
        <w:rPr>
          <w:rFonts w:ascii="楷体" w:eastAsia="楷体" w:hAnsi="楷体" w:cs="楷体"/>
          <w:color w:val="000000"/>
          <w:szCs w:val="21"/>
        </w:rPr>
        <w:t>[请填写作者姓名]</w:t>
      </w:r>
    </w:p>
    <w:p w14:paraId="233E4490" w14:textId="77777777" w:rsidR="00B14FA3" w:rsidRPr="00B14FA3" w:rsidRDefault="00B14FA3" w:rsidP="00B14FA3">
      <w:pPr>
        <w:ind w:firstLine="0"/>
        <w:jc w:val="center"/>
      </w:pPr>
      <w:r w:rsidRPr="00B14FA3">
        <w:rPr>
          <w:rFonts w:eastAsia="楷体"/>
          <w:color w:val="000000"/>
          <w:sz w:val="18"/>
          <w:szCs w:val="18"/>
        </w:rPr>
        <w:t>（</w:t>
      </w:r>
      <w:r w:rsidRPr="00B14FA3">
        <w:rPr>
          <w:rFonts w:eastAsia="楷体"/>
          <w:color w:val="000000"/>
          <w:sz w:val="18"/>
          <w:szCs w:val="18"/>
        </w:rPr>
        <w:t>[</w:t>
      </w:r>
      <w:r w:rsidRPr="00B14FA3">
        <w:rPr>
          <w:rFonts w:eastAsia="楷体"/>
          <w:color w:val="000000"/>
          <w:sz w:val="18"/>
          <w:szCs w:val="18"/>
        </w:rPr>
        <w:t>请填写工作单位</w:t>
      </w:r>
      <w:r w:rsidRPr="00B14FA3">
        <w:rPr>
          <w:rFonts w:eastAsia="楷体"/>
          <w:color w:val="000000"/>
          <w:sz w:val="18"/>
          <w:szCs w:val="18"/>
        </w:rPr>
        <w:t>] [</w:t>
      </w:r>
      <w:r w:rsidRPr="00B14FA3">
        <w:rPr>
          <w:rFonts w:eastAsia="楷体"/>
          <w:color w:val="000000"/>
          <w:sz w:val="18"/>
          <w:szCs w:val="18"/>
        </w:rPr>
        <w:t>请填写部门</w:t>
      </w:r>
      <w:r w:rsidRPr="00B14FA3">
        <w:rPr>
          <w:rFonts w:eastAsia="楷体"/>
          <w:color w:val="000000"/>
          <w:sz w:val="18"/>
          <w:szCs w:val="18"/>
        </w:rPr>
        <w:t>]</w:t>
      </w:r>
      <w:r w:rsidRPr="00B14FA3">
        <w:rPr>
          <w:rFonts w:eastAsia="楷体"/>
          <w:color w:val="000000"/>
          <w:sz w:val="18"/>
          <w:szCs w:val="18"/>
        </w:rPr>
        <w:t>，</w:t>
      </w:r>
      <w:r w:rsidRPr="00B14FA3">
        <w:rPr>
          <w:rFonts w:eastAsia="楷体"/>
          <w:color w:val="000000"/>
          <w:sz w:val="18"/>
          <w:szCs w:val="18"/>
        </w:rPr>
        <w:t>[</w:t>
      </w:r>
      <w:r w:rsidRPr="00B14FA3">
        <w:rPr>
          <w:rFonts w:eastAsia="楷体"/>
          <w:color w:val="000000"/>
          <w:sz w:val="18"/>
          <w:szCs w:val="18"/>
        </w:rPr>
        <w:t>省</w:t>
      </w:r>
      <w:r w:rsidRPr="00B14FA3">
        <w:rPr>
          <w:rFonts w:eastAsia="楷体"/>
          <w:color w:val="000000"/>
          <w:sz w:val="18"/>
          <w:szCs w:val="18"/>
        </w:rPr>
        <w:t xml:space="preserve"> </w:t>
      </w:r>
      <w:r w:rsidRPr="00B14FA3">
        <w:rPr>
          <w:rFonts w:eastAsia="楷体"/>
          <w:color w:val="000000"/>
          <w:sz w:val="18"/>
          <w:szCs w:val="18"/>
        </w:rPr>
        <w:t>市</w:t>
      </w:r>
      <w:r w:rsidRPr="00B14FA3">
        <w:rPr>
          <w:rFonts w:eastAsia="楷体"/>
          <w:color w:val="000000"/>
          <w:sz w:val="18"/>
          <w:szCs w:val="18"/>
        </w:rPr>
        <w:t xml:space="preserve"> </w:t>
      </w:r>
      <w:r w:rsidRPr="00B14FA3">
        <w:rPr>
          <w:rFonts w:eastAsia="楷体"/>
          <w:color w:val="000000"/>
          <w:sz w:val="18"/>
          <w:szCs w:val="18"/>
        </w:rPr>
        <w:t>邮编</w:t>
      </w:r>
      <w:r w:rsidRPr="00B14FA3">
        <w:rPr>
          <w:rFonts w:eastAsia="楷体"/>
          <w:color w:val="000000"/>
          <w:sz w:val="18"/>
          <w:szCs w:val="18"/>
        </w:rPr>
        <w:t>]</w:t>
      </w:r>
      <w:r w:rsidRPr="00B14FA3">
        <w:rPr>
          <w:rFonts w:eastAsia="楷体"/>
          <w:color w:val="000000"/>
          <w:sz w:val="18"/>
          <w:szCs w:val="18"/>
        </w:rPr>
        <w:t>）</w:t>
      </w:r>
    </w:p>
    <w:p w14:paraId="26D8FFD6" w14:textId="77777777" w:rsidR="00B14FA3" w:rsidRPr="00B14FA3" w:rsidRDefault="00B14FA3" w:rsidP="00B14FA3">
      <w:r>
        <w:rPr>
          <w:b/>
          <w:bCs/>
          <w:color w:val="000000"/>
        </w:rPr>
        <w:t>摘要：骨干网络中的源—目的节点对流量随时间持续变化，同一序列中既能观察到短时起伏，也存在突发变化和较慢的趋势成分。若始终在单一时间分辨率上进行预测，不同流量状态下的信息利用会受到限制。基于这一问题，本文构建样本级自适应多尺度预测方法。尺度1、2和4的序列由非重叠平均池化得到，并分别交由DLinear专家处理；输入窗口的均值、标准差、末时刻均值和平均绝对一阶差分用于生成Softmax尺度权重，再据此组合3个尺度的预测结果。实验采用Abilene和GÉANT两个骨干网流量数据集。3个共同随机种子下，所提方法的MSE相对DLinear分别降低4.06%和4.43%，相对LightTS分别降低29.89%和46.83%；8个随机种子的消融实验中，相对固定等权融合分别降低1.67%和4.68%。从两个数据集的结果看，在参数只小幅增加的情况下，按样本调整尺度权重能够降低平均预测误差。</w:t>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p>
    <w:p w14:paraId="6DDB7F12" w14:textId="77777777" w:rsidR="00B14FA3" w:rsidRPr="00B14FA3" w:rsidRDefault="00B14FA3" w:rsidP="00B14FA3">
      <w:pPr>
        <w:ind w:firstLine="0"/>
      </w:pPr>
      <w:r>
        <w:rPr>
          <w:rFonts w:eastAsia="黑体"/>
          <w:b/>
        </w:rPr>
        <w:t>关键词：</w:t>
      </w:r>
      <w:r>
        <w:t>网络流量预测；多变量时间序列；多尺度学习；自适应加权；</w:t>
      </w:r>
      <w:r>
        <w:t>DLinear</w:t>
      </w:r>
    </w:p>
    <w:p w14:paraId="18A6B693" w14:textId="77777777" w:rsidR="00B14FA3" w:rsidRPr="00B14FA3" w:rsidRDefault="00B14FA3" w:rsidP="00B14FA3">
      <w:pPr>
        <w:ind w:firstLine="0"/>
      </w:pPr>
      <w:r w:rsidRPr="00B14FA3">
        <w:rPr>
          <w:rFonts w:eastAsia="黑体"/>
          <w:b/>
        </w:rPr>
        <w:t>中图分类号：</w:t>
      </w:r>
      <w:r w:rsidRPr="00B14FA3">
        <w:t>TP393</w:t>
      </w:r>
      <w:r w:rsidRPr="00B14FA3">
        <w:t xml:space="preserve">　　</w:t>
      </w:r>
      <w:r w:rsidRPr="00B14FA3">
        <w:rPr>
          <w:rFonts w:eastAsia="黑体"/>
          <w:b/>
        </w:rPr>
        <w:t>文献标志码：</w:t>
      </w:r>
      <w:r w:rsidRPr="00B14FA3">
        <w:t>A</w:t>
      </w:r>
    </w:p>
    <w:p w14:paraId="4EB6E192" w14:textId="77777777" w:rsidR="00B14FA3" w:rsidRPr="00B14FA3" w:rsidRDefault="00B14FA3" w:rsidP="00B14FA3">
      <w:pPr>
        <w:spacing w:after="60"/>
        <w:ind w:firstLine="0"/>
        <w:jc w:val="center"/>
      </w:pPr>
      <w:r w:rsidRPr="00B14FA3">
        <w:rPr>
          <w:rFonts w:eastAsia="黑体"/>
          <w:b/>
          <w:sz w:val="28"/>
        </w:rPr>
        <w:t>A Multivariate Network Traffic Forecasting Method Based on Adaptive Multiscale Weighting</w:t>
      </w:r>
    </w:p>
    <w:p w14:paraId="58F87268" w14:textId="77777777" w:rsidR="00B14FA3" w:rsidRPr="00B14FA3" w:rsidRDefault="00B14FA3" w:rsidP="00B14FA3">
      <w:pPr>
        <w:ind w:firstLine="0"/>
        <w:jc w:val="center"/>
      </w:pPr>
      <w:r w:rsidRPr="00B14FA3">
        <w:t>[Author Name]</w:t>
      </w:r>
    </w:p>
    <w:p w14:paraId="4E49EDDA" w14:textId="77777777" w:rsidR="00B14FA3" w:rsidRPr="00B14FA3" w:rsidRDefault="00B14FA3" w:rsidP="00B14FA3">
      <w:pPr>
        <w:jc w:val="center"/>
      </w:pPr>
      <w:r w:rsidRPr="00B14FA3">
        <w:t>([Affiliation] [Department], [City] [Postcode], China; Corresponding author: [Name], E-mail: [E-mail])</w:t>
      </w:r>
    </w:p>
    <w:p w14:paraId="05369785" w14:textId="77777777" w:rsidR="00B14FA3" w:rsidRPr="00B14FA3" w:rsidRDefault="00B14FA3" w:rsidP="00B14FA3">
      <w:r>
        <w:rPr>
          <w:rFonts w:eastAsia="Times New Roman"/>
          <w:b/>
          <w:bCs/>
          <w:color w:val="000000"/>
        </w:rPr>
        <w:t>Abstract: Backbone origin-destination (OD) traffic does not evolve at a single temporal pace. Short-term fluctuations, abrupt changes, and slower trends may appear in the same traffic sequence, whereas a fixed-scale model always uses one temporal resolution. A sample-wise adaptive multiscale forecasting method is therefore proposed. Non-overlapping average pooling at scales 1, 2, and 4 is applied to obtain multiresolution sequences, which are processed by separate DLinear experts. The mean, standard deviation, latest-step mean, and mean absolute first difference of each input window are also extracted and fed into a lightweight routing network. Softmax weights produced by the router are used to combine the three forecasts. Experiments are carried out on the Abilene and GÉANT backbone traffic datasets. With three common random seeds, the proposed method reduces MSE by 4.06% and 4.43% compared with DLinear and by 29.89% and 46.83% compared with LightTS. In the eight-seed ablation experiment, the MSE reductions over fixed equal weighting are 1.67% and 4.68%, respectively. The results on both datasets show that the relative contribution of different temporal scales can be adjusted for each input sample with only a small increase in model parameters.</w:t>
      </w:r>
      <w:r>
        <w:rPr>
          <w:rFonts w:eastAsia="Times New Roman"/>
          <w:color w:val="000000"/>
        </w:rPr>
      </w:r>
    </w:p>
    <w:p w14:paraId="1A5F7C32" w14:textId="77777777" w:rsidR="00B14FA3" w:rsidRPr="00B14FA3" w:rsidRDefault="00B14FA3" w:rsidP="00B14FA3">
      <w:pPr>
        <w:ind w:firstLine="0"/>
      </w:pPr>
      <w:r>
        <w:rPr>
          <w:rFonts w:eastAsia="Times New Roman"/>
          <w:b/>
          <w:bCs/>
          <w:color w:val="000000"/>
        </w:rPr>
        <w:t xml:space="preserve">Key words: </w:t>
      </w:r>
      <w:r>
        <w:rPr>
          <w:rFonts w:eastAsia="Times New Roman"/>
          <w:color w:val="000000"/>
        </w:rPr>
        <w:t>network traffic forecasting; multivariate time series; multiscale learning; adaptive weighting; DLinear</w:t>
      </w:r>
    </w:p>
    <w:p w14:paraId="5C2C4A73" w14:textId="77777777" w:rsidR="00B14FA3" w:rsidRPr="00B14FA3" w:rsidRDefault="00B14FA3" w:rsidP="00B14FA3">
      <w:pPr>
        <w:rPr>
          <w:color w:val="000000"/>
        </w:rPr>
      </w:pPr>
    </w:p>
    <w:p w14:paraId="2A311823" w14:textId="77777777" w:rsidR="00B14FA3" w:rsidRPr="00B14FA3" w:rsidRDefault="00B14FA3" w:rsidP="00B14FA3">
      <w:pPr>
        <w:rPr>
          <w:color w:val="000000"/>
        </w:rPr>
      </w:pPr>
      <w:r>
        <w:rPr>
          <w:color w:val="000000"/>
          <w:szCs w:val="21"/>
        </w:rPr>
        <w:t>随着云计算、视频业务、数据中心互联及智能网络应用不断扩展，骨干网络承载的数据规模持续增长，业务流量在时间上的变化也更加复杂。源—目的节点对（origin-destination，OD）流量描述网络中不同节点对之间的通信需求，其变化能够反映业务在网络内部的迁移和聚集情况。对于容量规划、拥塞预警、资源调度和流量工程等任务而言，若能够提前获得后一时段的OD流量估计，网络管理系统就可以在业务变化发生前进行相应调整。与相对平稳的单变量序列不同，OD流量通常同时包含周期变化、局部波动和突发变化，不同OD变量的数值范围也存在明显差异。因此，网络流量预测不仅需要描述较长时间范围内的变化趋势，还要保留对短时状态变化的响应能力。</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3877C1F2" w14:textId="77777777" w:rsidR="00B14FA3" w:rsidRPr="00B14FA3" w:rsidRDefault="00B14FA3" w:rsidP="00B14FA3">
      <w:pPr>
        <w:rPr>
          <w:color w:val="000000"/>
        </w:rPr>
      </w:pPr>
      <w:r>
        <w:rPr>
          <w:color w:val="000000"/>
          <w:szCs w:val="21"/>
        </w:rPr>
        <w:t>围绕网络流量的时间变化规律，相关研究经历了从统计模型到机器学习、深度学习方法的发展。Lohrasbinasab等[1]对网络流量预测方法进行了系统梳理，说明数据驱动方法已成为复杂流量预测的重要研究方向。随着网络规模扩大，仅从单一序列的时间变化进行建模已难以覆盖OD变量之间的关联关系。Qin等[2]将图神经网络用于通信网络流量预测，把空间关联和时间依赖纳入同一模型；韦烜等[10]围绕大型IP网络流量矩阵开展分析与预测，进一步讨论了不同OD变量之间的关联及其随时间变化的特点。除变量关联外，周期规律也是网络流量中的重要信息，唐文杰等[11]提出CycleLLH模型，将周期性信息引入预测过程。上述工作分别从时间依赖、变量关联和周期结构等角度改进了网络流量预测，为后续从更细的时间结构分析流量变化提供了基础。</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3877C1F2" w14:textId="77777777" w:rsidR="00B14FA3" w:rsidRPr="00B14FA3" w:rsidRDefault="00B14FA3" w:rsidP="00B14FA3">
      <w:pPr>
        <w:rPr>
          <w:color w:val="000000"/>
        </w:rPr>
      </w:pPr>
      <w:r>
        <w:rPr>
          <w:color w:val="000000"/>
          <w:szCs w:val="21"/>
        </w:rPr>
        <w:t>除变量关联和周期特征外，同一段网络流量在不同时间分辨率下呈现出的信息也并不完全相同。原始分辨率序列保留了较多细节，更容易反映短时起伏；经过一定时间聚合后，局部扰动被削弱，较慢的变化趋势则更加突出。针对这类多时间尺度特征，Zhou等[3]利用深度回声状态网络开展多尺度网络流量预测，通过不同时间分辨率提取互补信息。与此同时，一些研究开始关注预测模型的结构复杂度。DLinear[4]采用时间序列分解和线性映射完成预测，结构相对简洁；TimeMixer[5]通过多尺度混合机制处理不同分辨率序列；LightTS[6]利用采样导向的MLP结构进行快速多变量时间序列预测。可以看到，多尺度建模和轻量时间序列预测分别从信息利用方式和模型结构两个方向提供了改进思路。对于骨干网络OD流量，如果能够在较小模型开销下同时使用不同时间尺度的信息，就有可能兼顾局部变化与整体趋势。</w:t>
      </w:r>
    </w:p>
    <w:p w14:paraId="65582279" w14:textId="77777777" w:rsidR="00B14FA3" w:rsidRPr="00B14FA3" w:rsidRDefault="00B14FA3" w:rsidP="00B14FA3">
      <w:pPr>
        <w:rPr>
          <w:color w:val="000000"/>
        </w:rPr>
      </w:pPr>
      <w:r>
        <w:rPr>
          <w:color w:val="000000"/>
          <w:szCs w:val="21"/>
        </w:rPr>
        <w:t>现有多尺度方法通常需要先确定若干时间尺度，但尺度建立之后，不同尺度在融合阶段往往采用预先设定的组合方式。实际流量序列中，各输入窗口的状态差异较大：有的窗口短时波动明显，有的窗口则主要呈现较平缓的趋势。当输入状态发生变化时，尺度1、2和4所包含的信息价值也可能随之变化。如果始终采用单一尺度，容易遗漏其他时间分辨率中的有效信息；如果对多个尺度长期使用固定比例，又难以反映不同窗口之间的状态差异。由此，本文关注的问题不只是如何构造多个时间尺度，还包括如何根据当前输入样本改变不同尺度在最终预测中的参与程度。</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012F79B1" w14:textId="77777777" w:rsidR="00B14FA3" w:rsidRPr="00B14FA3" w:rsidRDefault="00B14FA3" w:rsidP="00B14FA3"/>
    <w:p>
      <w:pPr/>
      <w:r>
        <w:t>基于上述考虑，本文构建一种样本级自适应多尺度网络流量预测方法。首先，在原始输入窗口上采用尺度1、2和4构造多分辨率序列，并使用结构简洁的DLinear作为各尺度预测专家，使不同时间分辨率分别形成候选预测结果；随后，从当前输入窗口提取能够反映总体水平、离散程度、最近状态和变化强度的统计量，经轻量路由网络生成Softmax尺度权重，再对各尺度预测结果进行融合。该设计将“各尺度如何预测”和“当前样本更需要哪个尺度”两个问题分开处理，使路由模块不必重新承担完整的时序预测任务。实验在Abilene和GÉANT两个公开骨干网数据集上进行，并通过DLinear、LightTS外部基线、固定等权多尺度消融、多个随机种子重复实验以及路由权重分析，对模型的预测结果和尺度分配行为进行验证。</w:t>
      </w:r>
    </w:p>
    <w:p w14:paraId="155C26D6"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1 </w:t>
      </w:r>
      <w:r w:rsidRPr="00B14FA3">
        <w:rPr>
          <w:rFonts w:ascii="Arial" w:eastAsia="黑体" w:hAnsi="Arial"/>
          <w:b/>
          <w:color w:val="000000"/>
          <w:kern w:val="0"/>
          <w:sz w:val="24"/>
          <w:szCs w:val="20"/>
        </w:rPr>
        <w:t>自适应多尺度网络流量预测方法</w:t>
      </w:r>
    </w:p>
    <w:p w14:paraId="0B4AA7AE" w14:textId="77777777" w:rsidR="00B14FA3" w:rsidRPr="00B14FA3" w:rsidRDefault="00B14FA3" w:rsidP="00B14FA3">
      <w:r>
        <w:rPr>
          <w:color w:val="000000"/>
          <w:szCs w:val="21"/>
        </w:rPr>
        <w:t>图1给出了自适应多尺度网络流量预测方法的整体流程。本文没有直接使用一个复杂模型同时完成多尺度特征提取和预测，而是将任务拆分为两个相对独立的部分：一部分负责在不同时间分辨率下完成预测，另一部分负责判断当前输入窗口中各尺度结果应占多大比重。原始OD流量经过对数变换和标准化后，在尺度1、2和4上形成3组输入序列，分别交由独立的DLinear专家处理；与此同时，轻量路由网络只读取当前窗口的统计特征，为3个尺度生成样本级权重。最终预测由3个专家输出按权重组合得到。这样的结构使多尺度预测和尺度选择各自承担明确功能，也便于后续通过固定等权模型单独考察自适应权重的作用。</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4A0F6536" w14:textId="77777777" w:rsidR="00B14FA3" w:rsidRPr="00B14FA3" w:rsidRDefault="00B14FA3" w:rsidP="00B14FA3">
      <w:pPr>
        <w:keepNext/>
        <w:spacing w:before="60"/>
        <w:ind w:firstLine="0"/>
        <w:jc w:val="center"/>
      </w:pPr>
      <w:r w:rsidRPr="00B14FA3">
        <w:rPr>
          <w:noProof/>
        </w:rPr>
        <w:drawing>
          <wp:inline distT="0" distB="0" distL="0" distR="0" wp14:anchorId="0702D61E" wp14:editId="2DE249BE">
            <wp:extent cx="5829300" cy="3276600"/>
            <wp:effectExtent l="0" t="0" r="0" b="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829300" cy="3276600"/>
                    </a:xfrm>
                    <a:prstGeom prst="rect">
                      <a:avLst/>
                    </a:prstGeom>
                    <a:noFill/>
                    <a:ln>
                      <a:noFill/>
                    </a:ln>
                  </pic:spPr>
                </pic:pic>
              </a:graphicData>
            </a:graphic>
          </wp:inline>
        </w:drawing>
      </w:r>
    </w:p>
    <w:p>
      <w:pPr/>
      <w:r>
        <w:t>这一设计的出发点是，不同时间分辨率对同一流量窗口的描述侧重点不同。原始尺度保留的局部变化较多，较粗尺度则通过时间聚合削弱部分短时扰动，更容易呈现整体变化。若只保留其中一个尺度，其他时间分辨率的信息将不会进入预测过程；若简单固定多个尺度的融合比例，又无法随输入状态变化。基于此，本文保留3个尺度的独立预测结果，再把尺度组合问题交给路由网络处理。DLinear结构较为简洁，可在控制模型规模的同时作为不同尺度上的预测专家，使方法的重点放在多尺度构造和样本级融合机制上。</w:t>
      </w:r>
    </w:p>
    <w:p w14:paraId="4BAAA424" w14:textId="77777777" w:rsidR="00B14FA3" w:rsidRPr="00B14FA3" w:rsidRDefault="00B14FA3" w:rsidP="00B14FA3">
      <w:pPr>
        <w:keepLines/>
        <w:spacing w:before="60" w:after="80"/>
        <w:ind w:firstLine="0"/>
        <w:jc w:val="center"/>
      </w:pPr>
      <w:r>
        <w:rPr>
          <w:rFonts w:eastAsia="黑体"/>
          <w:b/>
          <w:sz w:val="18"/>
          <w:szCs w:val="18"/>
        </w:rPr>
        <w:t>图</w:t>
      </w:r>
      <w:r>
        <w:rPr>
          <w:rFonts w:eastAsia="黑体"/>
          <w:b/>
          <w:sz w:val="18"/>
          <w:szCs w:val="18"/>
        </w:rPr>
        <w:t xml:space="preserve">1 </w:t>
      </w:r>
      <w:r>
        <w:rPr>
          <w:rFonts w:eastAsia="黑体"/>
          <w:b/>
          <w:sz w:val="18"/>
          <w:szCs w:val="18"/>
        </w:rPr>
        <w:t>自适应多尺度网络流量预测方法框架</w:t>
      </w:r>
    </w:p>
    <w:p w14:paraId="6C67E13A"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ascii="Arial" w:eastAsia="黑体" w:hAnsi="Arial"/>
          <w:b/>
          <w:bCs/>
          <w:color w:val="000000"/>
          <w:szCs w:val="21"/>
        </w:rPr>
        <w:t xml:space="preserve">1.1 </w:t>
      </w:r>
      <w:r w:rsidRPr="00B14FA3">
        <w:rPr>
          <w:rFonts w:eastAsia="黑体"/>
          <w:b/>
          <w:bCs/>
          <w:szCs w:val="21"/>
        </w:rPr>
        <w:t>问题定义与数据预处理</w:t>
      </w:r>
    </w:p>
    <w:p w14:paraId="68385A57" w14:textId="77777777" w:rsidR="00B14FA3" w:rsidRPr="00B14FA3" w:rsidRDefault="00B14FA3" w:rsidP="00B14FA3">
      <w:pPr>
        <w:spacing w:line="360" w:lineRule="auto"/>
      </w:pPr>
      <w:r>
        <w:rPr>
          <w:szCs w:val="21"/>
        </w:rPr>
        <w:t>记预处理后的多变量流量序列为 xt∈RC，其中t表示时间索引，C表示有效OD变量数。对连续序列按时间滑动得到监督学习样本，第n个样本由一段历史窗口和其后的预测区间组成。历史窗口记为Xn，包含连续L个时间点；预测目标记为Yn，包含紧随其后的H个时间点。因而，模型学习的实质是利用多个OD变量在过去L步中的联合变化，估计这些变量未来H步的取值。第n个样本对应的输入与目标定义为</w:t>
      </w:r>
      <w:r>
        <w:rPr>
          <w:szCs w:val="21"/>
        </w:rPr>
      </w:r>
      <w:r>
        <w:rPr>
          <w:i/>
          <w:iCs/>
          <w:szCs w:val="21"/>
        </w:rPr>
      </w:r>
      <w:r>
        <w:rPr>
          <w:i/>
          <w:iCs/>
          <w:szCs w:val="21"/>
          <w:vertAlign w:val="subscript"/>
        </w:rPr>
      </w:r>
      <w:r>
        <w:rPr>
          <w:szCs w:val="21"/>
        </w:rPr>
      </w:r>
      <w:r>
        <w:rPr>
          <w:i/>
          <w:iCs/>
          <w:szCs w:val="21"/>
        </w:rPr>
      </w:r>
      <w:r>
        <w:rPr>
          <w:i/>
          <w:iCs/>
          <w:szCs w:val="21"/>
          <w:vertAlign w:val="superscript"/>
        </w:rPr>
      </w:r>
      <w:r>
        <w:rPr>
          <w:szCs w:val="21"/>
        </w:rPr>
      </w:r>
      <w:r>
        <w:rPr>
          <w:i/>
          <w:iCs/>
          <w:szCs w:val="21"/>
        </w:rPr>
      </w:r>
      <w:r>
        <w:rPr>
          <w:szCs w:val="21"/>
        </w:rPr>
      </w:r>
      <w:r>
        <w:rPr>
          <w:i/>
          <w:iCs/>
          <w:szCs w:val="21"/>
        </w:rPr>
      </w:r>
      <w:r>
        <w:rPr>
          <w:szCs w:val="21"/>
        </w:rPr>
      </w:r>
      <w:r>
        <w:rPr>
          <w:szCs w:val="21"/>
        </w:rPr>
      </w:r>
      <w:r>
        <w:rPr>
          <w:szCs w:val="21"/>
        </w:rPr>
      </w:r>
      <w:r>
        <w:rPr>
          <w:i/>
          <w:iCs/>
          <w:szCs w:val="21"/>
        </w:rPr>
      </w:r>
      <w:r>
        <w:rPr>
          <w:szCs w:val="21"/>
        </w:rPr>
      </w:r>
    </w:p>
    <w:p w14:paraId="54EEA794"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lastRenderedPageBreak/>
        <w:tab/>
      </w:r>
      <m:oMath>
        <m:sSub>
          <m:sSubPr>
            <m:ctrlPr>
              <w:rPr>
                <w:rFonts w:ascii="Cambria Math" w:eastAsia="Cambria Math" w:hAnsi="Cambria Math"/>
                <w:i/>
              </w:rPr>
            </m:ctrlPr>
          </m:sSubPr>
          <m:e>
            <m:r>
              <m:rPr>
                <m:sty m:val="bi"/>
              </m:rP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m:t>
                    </m:r>
                  </m:e>
                </m:d>
              </m:sub>
            </m:sSub>
          </m:e>
        </m:d>
        <m:r>
          <w:rPr>
            <w:rFonts w:ascii="Cambria Math" w:eastAsia="Cambria Math" w:hAnsi="Cambria Math"/>
            <w:kern w:val="0"/>
            <w:szCs w:val="20"/>
          </w:rPr>
          <m:t>∈</m:t>
        </m:r>
        <m:sSup>
          <m:sSupPr>
            <m:ctrlPr>
              <w:rPr>
                <w:rFonts w:ascii="Cambria Math" w:eastAsia="Cambria Math" w:hAnsi="Cambria Math"/>
                <w:i/>
              </w:rPr>
            </m:ctrlPr>
          </m:sSupPr>
          <m:e>
            <m:r>
              <m:rPr>
                <m:sty m:val="bi"/>
              </m:rP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L×C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w:t>
      </w:r>
    </w:p>
    <w:p w14:paraId="629FA8CA"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ty m:val="bi"/>
              </m:rPr>
              <w:rPr>
                <w:rFonts w:ascii="Cambria Math" w:eastAsia="Cambria Math" w:hAnsi="Cambria Math"/>
                <w:kern w:val="0"/>
                <w:szCs w:val="20"/>
              </w:rPr>
              <m:t>Y</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n+L+H-1</m:t>
                    </m:r>
                  </m:e>
                </m:d>
              </m:sub>
            </m:sSub>
          </m:e>
        </m:d>
        <m:r>
          <w:rPr>
            <w:rFonts w:ascii="Cambria Math" w:eastAsia="Cambria Math" w:hAnsi="Cambria Math"/>
            <w:kern w:val="0"/>
            <w:szCs w:val="20"/>
          </w:rPr>
          <m:t>∈</m:t>
        </m:r>
        <m:sSup>
          <m:sSupPr>
            <m:ctrlPr>
              <w:rPr>
                <w:rFonts w:ascii="Cambria Math" w:eastAsia="Cambria Math" w:hAnsi="Cambria Math"/>
                <w:i/>
              </w:rPr>
            </m:ctrlPr>
          </m:sSupPr>
          <m:e>
            <m:r>
              <m:rPr>
                <m:sty m:val="bi"/>
              </m:rP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H×C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(2)</w:t>
      </w:r>
    </w:p>
    <w:p w14:paraId="221B26ED" w14:textId="77777777" w:rsidR="00B14FA3" w:rsidRPr="00B14FA3" w:rsidRDefault="00B14FA3" w:rsidP="00B14FA3">
      <w:pPr>
        <w:spacing w:line="360" w:lineRule="auto"/>
      </w:pPr>
      <w:r>
        <w:rPr>
          <w:szCs w:val="21"/>
        </w:rPr>
        <w:t>本文取输入长度L=96、预测长度H=24，变量数C由具体数据集保留的有效OD维度决定，学习映射记为Ŷn=fθ(Xn)。L决定模型每次能够观察到的历史范围，H则对应一次需要连续预测的未来长度。由于原始OD流量为非负值，且不同OD变量之间的流量量级可能存在明显差异，若直接使用原始数值训练，较大的数值范围会使不同变量处于不一致的尺度。为减小这种数值跨度，首先对原始流量vt,c作对数变换</w:t>
      </w:r>
      <w:r>
        <w:rPr>
          <w:i/>
          <w:iCs/>
          <w:szCs w:val="21"/>
        </w:rPr>
      </w:r>
      <w:r>
        <w:rPr>
          <w:szCs w:val="21"/>
        </w:rPr>
      </w:r>
      <w:r>
        <w:rPr>
          <w:szCs w:val="21"/>
        </w:rPr>
      </w:r>
      <w:r>
        <w:rPr>
          <w:i/>
          <w:iCs/>
          <w:szCs w:val="21"/>
        </w:rPr>
      </w:r>
      <w:r>
        <w:rPr>
          <w:szCs w:val="21"/>
        </w:rPr>
      </w:r>
      <w:r>
        <w:rPr>
          <w:szCs w:val="21"/>
        </w:rPr>
      </w:r>
      <w:r>
        <w:rPr>
          <w:i/>
          <w:iCs/>
          <w:szCs w:val="21"/>
        </w:rPr>
      </w:r>
      <w:r>
        <w:rPr>
          <w:szCs w:val="21"/>
        </w:rPr>
      </w:r>
      <w:r>
        <w:rPr>
          <w:szCs w:val="21"/>
        </w:rPr>
      </w:r>
      <w:r>
        <w:rPr>
          <w:szCs w:val="21"/>
        </w:rPr>
      </w:r>
      <w:r>
        <w:rPr>
          <w:b/>
          <w:bCs/>
          <w:i/>
          <w:iCs/>
          <w:szCs w:val="21"/>
        </w:rPr>
      </w:r>
      <w:r>
        <w:rPr>
          <w:i/>
          <w:iCs/>
          <w:szCs w:val="21"/>
          <w:vertAlign w:val="subscript"/>
        </w:rPr>
      </w:r>
      <w:r>
        <w:rPr>
          <w:szCs w:val="21"/>
        </w:rPr>
      </w:r>
      <w:r>
        <w:rPr>
          <w:i/>
          <w:iCs/>
          <w:szCs w:val="21"/>
        </w:rPr>
      </w:r>
      <w:r>
        <w:rPr>
          <w:i/>
          <w:iCs/>
          <w:szCs w:val="21"/>
          <w:vertAlign w:val="subscript"/>
        </w:rPr>
      </w:r>
      <w:r>
        <w:rPr>
          <w:szCs w:val="21"/>
        </w:rPr>
      </w:r>
      <w:r>
        <w:rPr>
          <w:b/>
          <w:bCs/>
          <w:i/>
          <w:iCs/>
          <w:szCs w:val="21"/>
        </w:rPr>
      </w:r>
      <w:r>
        <w:rPr>
          <w:i/>
          <w:iCs/>
          <w:szCs w:val="21"/>
          <w:vertAlign w:val="subscript"/>
        </w:rPr>
      </w:r>
      <w:r>
        <w:rPr>
          <w:szCs w:val="21"/>
        </w:rPr>
      </w:r>
      <w:r>
        <w:rPr>
          <w:szCs w:val="21"/>
        </w:rPr>
      </w:r>
      <w:r>
        <w:rPr>
          <w:i/>
          <w:iCs/>
          <w:szCs w:val="21"/>
        </w:rPr>
      </w:r>
      <w:r>
        <w:rPr>
          <w:i/>
          <w:iCs/>
          <w:szCs w:val="21"/>
          <w:vertAlign w:val="subscript"/>
        </w:rPr>
      </w:r>
      <w:r>
        <w:rPr>
          <w:szCs w:val="21"/>
        </w:rPr>
      </w:r>
    </w:p>
    <w:p w14:paraId="06B107E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unc>
          <m:funcPr>
            <m:ctrlPr>
              <w:rPr>
                <w:rFonts w:ascii="Cambria Math" w:eastAsia="Cambria Math" w:hAnsi="Cambria Math"/>
              </w:rPr>
            </m:ctrlPr>
          </m:funcPr>
          <m:fName>
            <m:r>
              <m:rPr>
                <m:sty m:val="p"/>
              </m:rPr>
              <w:rPr>
                <w:rFonts w:ascii="Cambria Math" w:eastAsia="Cambria Math" w:hAnsi="Cambria Math"/>
                <w:kern w:val="0"/>
                <w:szCs w:val="20"/>
              </w:rPr>
              <m:t>log</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1+</m:t>
                </m:r>
                <m:sSub>
                  <m:sSubPr>
                    <m:ctrlPr>
                      <w:rPr>
                        <w:rFonts w:ascii="Cambria Math" w:eastAsia="Cambria Math" w:hAnsi="Cambria Math"/>
                        <w:i/>
                      </w:rPr>
                    </m:ctrlPr>
                  </m:sSubPr>
                  <m:e>
                    <m:r>
                      <w:rPr>
                        <w:rFonts w:ascii="Cambria Math" w:eastAsia="Cambria Math" w:hAnsi="Cambria Math"/>
                        <w:kern w:val="0"/>
                        <w:szCs w:val="20"/>
                      </w:rPr>
                      <m:t>v</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(3)</w:t>
      </w:r>
    </w:p>
    <w:p w14:paraId="5088C610" w14:textId="77777777" w:rsidR="00B14FA3" w:rsidRPr="00B14FA3" w:rsidRDefault="00B14FA3" w:rsidP="00B14FA3">
      <w:pPr>
        <w:spacing w:line="360" w:lineRule="auto"/>
      </w:pPr>
      <w:r w:rsidRPr="00B14FA3">
        <w:rPr>
          <w:szCs w:val="21"/>
        </w:rPr>
        <w:t>再按变量进行标准化：</w:t>
      </w:r>
    </w:p>
    <w:p w14:paraId="2A2346E7"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
          <m:fPr>
            <m:ctrlPr>
              <w:rPr>
                <w:rFonts w:ascii="Cambria Math" w:eastAsia="Cambria Math" w:hAnsi="Cambria Math"/>
                <w:i/>
              </w:rPr>
            </m:ctrlPr>
          </m:fPr>
          <m:num>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μ</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m:rPr>
                        <m:sty m:val="p"/>
                      </m:rPr>
                      <w:rPr>
                        <w:rFonts w:ascii="Cambria Math" w:eastAsia="Cambria Math" w:hAnsi="Cambria Math"/>
                        <w:kern w:val="0"/>
                        <w:szCs w:val="20"/>
                      </w:rPr>
                      <m:t>tr</m:t>
                    </m:r>
                  </m:e>
                </m:d>
              </m:sup>
            </m:sSubSup>
          </m:num>
          <m:den>
            <m:sSubSup>
              <m:sSubSupPr>
                <m:ctrlPr>
                  <w:rPr>
                    <w:rFonts w:ascii="Cambria Math" w:eastAsia="Cambria Math" w:hAnsi="Cambria Math"/>
                    <w:i/>
                  </w:rPr>
                </m:ctrlPr>
              </m:sSubSupPr>
              <m:e>
                <m:r>
                  <w:rPr>
                    <w:rFonts w:ascii="Cambria Math" w:eastAsia="Cambria Math" w:hAnsi="Cambria Math"/>
                    <w:kern w:val="0"/>
                    <w:szCs w:val="20"/>
                  </w:rPr>
                  <m:t>σ</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m:rPr>
                        <m:sty m:val="p"/>
                      </m:rPr>
                      <w:rPr>
                        <w:rFonts w:ascii="Cambria Math" w:eastAsia="Cambria Math" w:hAnsi="Cambria Math"/>
                        <w:kern w:val="0"/>
                        <w:szCs w:val="20"/>
                      </w:rPr>
                      <m:t>tr</m:t>
                    </m:r>
                  </m:e>
                </m:d>
              </m:sup>
            </m:sSubSup>
          </m:den>
        </m:f>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(4)</w:t>
      </w:r>
    </w:p>
    <w:p w14:paraId="2663E5C2" w14:textId="77777777" w:rsidR="00B14FA3" w:rsidRPr="00B14FA3" w:rsidRDefault="00B14FA3" w:rsidP="00B14FA3">
      <w:pPr>
        <w:spacing w:line="360" w:lineRule="auto"/>
      </w:pPr>
      <w:r>
        <w:rPr>
          <w:szCs w:val="21"/>
        </w:rPr>
        <w:t>其中μctr和σctr分别表示第c个OD变量在训练集上的均值和标准差，只由训练数据计算，验证集和测试集均沿用训练阶段得到的统计量。log(1+x)变换用于压缩非负流量的数值范围，同时保留流量大小关系；随后进行按变量标准化，使不同OD维度以相近的数值尺度进入模型。两步处理承担的作用并不相同：前者主要缓和原始流量量级差异，后者使各变量在统一尺度下参与损失计算和参数更新。数据仍按时间顺序以6∶2∶2划分为训练集、验证集和测试集，各集合内部独立生成滑动窗口，避免窗口跨越不同数据划分边界。</w:t>
      </w:r>
      <w:r>
        <w:rPr>
          <w:i/>
          <w:iCs/>
          <w:szCs w:val="21"/>
        </w:rPr>
      </w:r>
      <w:r>
        <w:rPr>
          <w:i/>
          <w:iCs/>
          <w:szCs w:val="21"/>
          <w:vertAlign w:val="subscript"/>
        </w:rPr>
      </w:r>
      <w:r>
        <w:rPr>
          <w:szCs w:val="21"/>
          <w:vertAlign w:val="superscript"/>
        </w:rPr>
      </w:r>
      <w:r>
        <w:rPr>
          <w:szCs w:val="21"/>
        </w:rPr>
      </w:r>
      <w:r>
        <w:rPr>
          <w:i/>
          <w:iCs/>
          <w:szCs w:val="21"/>
        </w:rPr>
      </w:r>
      <w:r>
        <w:rPr>
          <w:i/>
          <w:iCs/>
          <w:szCs w:val="21"/>
          <w:vertAlign w:val="subscript"/>
        </w:rPr>
      </w:r>
      <w:r>
        <w:rPr>
          <w:szCs w:val="21"/>
          <w:vertAlign w:val="superscript"/>
        </w:rPr>
      </w:r>
      <w:r>
        <w:rPr>
          <w:szCs w:val="21"/>
        </w:rPr>
      </w:r>
      <w:r>
        <w:rPr>
          <w:szCs w:val="21"/>
        </w:rPr>
      </w:r>
      <w:r>
        <w:rPr>
          <w:szCs w:val="21"/>
        </w:rPr>
      </w:r>
    </w:p>
    <w:p>
      <w:pPr/>
      <w:r>
        <w:t>经过上述处理后，每个输入样本仍保持原始时间分辨率。为了让后续专家同时观察细粒度变化和较平滑的趋势，需要进一步从同一历史窗口构造不同时间尺度的表示。</w:t>
      </w:r>
    </w:p>
    <w:p w14:paraId="61721526"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rPr>
        <w:t xml:space="preserve">1.2 </w:t>
      </w:r>
      <w:r w:rsidRPr="00B14FA3">
        <w:rPr>
          <w:rFonts w:eastAsia="黑体"/>
          <w:b/>
          <w:bCs/>
          <w:szCs w:val="21"/>
        </w:rPr>
        <w:t>多尺度序列构造</w:t>
      </w:r>
    </w:p>
    <w:p w14:paraId="70A22C31" w14:textId="77777777" w:rsidR="00B14FA3" w:rsidRPr="00B14FA3" w:rsidRDefault="00B14FA3" w:rsidP="00B14FA3">
      <w:pPr>
        <w:spacing w:line="360" w:lineRule="auto"/>
      </w:pPr>
      <w:r w:rsidRPr="00B14FA3">
        <w:rPr>
          <w:szCs w:val="21"/>
        </w:rPr>
        <w:t>设尺度集合S={1,2,4}。尺度s表示沿时间维进行聚合时使用的窗口大小。对于任一尺度s，采用窗口大小为s、步长也为s的非重叠平均池化：</w:t>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p>
    <w:p w14:paraId="18864864"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s</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i=0</m:t>
                    </m:r>
                  </m:e>
                </m:d>
              </m:e>
              <m:sub>
                <m:d>
                  <m:dPr>
                    <m:begChr m:val="{"/>
                    <m:endChr m:val="}"/>
                    <m:ctrlPr>
                      <w:rPr>
                        <w:rFonts w:ascii="Cambria Math" w:eastAsia="Cambria Math" w:hAnsi="Cambria Math"/>
                        <w:i/>
                      </w:rPr>
                    </m:ctrlPr>
                  </m:dPr>
                  <m:e>
                    <m:r>
                      <w:rPr>
                        <w:rFonts w:ascii="Cambria Math" w:eastAsia="Cambria Math" w:hAnsi="Cambria Math"/>
                        <w:kern w:val="0"/>
                        <w:szCs w:val="20"/>
                      </w:rPr>
                      <m:t>n,st+i</m:t>
                    </m:r>
                  </m:e>
                </m:d>
              </m:sub>
              <m:sup>
                <m:d>
                  <m:dPr>
                    <m:begChr m:val="{"/>
                    <m:endChr m:val="}"/>
                    <m:ctrlPr>
                      <w:rPr>
                        <w:rFonts w:ascii="Cambria Math" w:eastAsia="Cambria Math" w:hAnsi="Cambria Math"/>
                        <w:i/>
                      </w:rPr>
                    </m:ctrlPr>
                  </m:dPr>
                  <m:e>
                    <m:r>
                      <w:rPr>
                        <w:rFonts w:ascii="Cambria Math" w:eastAsia="Cambria Math" w:hAnsi="Cambria Math"/>
                        <w:kern w:val="0"/>
                        <w:szCs w:val="20"/>
                      </w:rPr>
                      <m:t>s-1</m:t>
                    </m:r>
                  </m:e>
                </m:d>
                <m:r>
                  <m:rPr>
                    <m:sty m:val="bi"/>
                  </m:rPr>
                  <w:rPr>
                    <w:rFonts w:ascii="Cambria Math" w:eastAsia="Cambria Math" w:hAnsi="Cambria Math"/>
                    <w:kern w:val="0"/>
                    <w:szCs w:val="20"/>
                  </w:rPr>
                  <m:t>X</m:t>
                </m:r>
              </m:sup>
            </m:sSubSup>
          </m:sub>
        </m:sSub>
        <m:r>
          <w:rPr>
            <w:rFonts w:ascii="Cambria Math" w:eastAsia="Cambria Math" w:hAnsi="Cambria Math"/>
            <w:kern w:val="0"/>
            <w:szCs w:val="20"/>
          </w:rPr>
          <m:t>,     t=0,…,</m:t>
        </m:r>
        <m:f>
          <m:fPr>
            <m:ctrlPr>
              <w:rPr>
                <w:rFonts w:ascii="Cambria Math" w:eastAsia="Cambria Math" w:hAnsi="Cambria Math"/>
                <w:i/>
              </w:rPr>
            </m:ctrlPr>
          </m:fPr>
          <m:num>
            <m:r>
              <w:rPr>
                <w:rFonts w:ascii="Cambria Math" w:eastAsia="Cambria Math" w:hAnsi="Cambria Math"/>
                <w:kern w:val="0"/>
                <w:szCs w:val="20"/>
              </w:rPr>
              <m:t>L</m:t>
            </m:r>
          </m:num>
          <m:den>
            <m:r>
              <w:rPr>
                <w:rFonts w:ascii="Cambria Math" w:eastAsia="Cambria Math" w:hAnsi="Cambria Math"/>
                <w:kern w:val="0"/>
                <w:szCs w:val="20"/>
              </w:rPr>
              <m:t>s</m:t>
            </m:r>
          </m:den>
        </m:f>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(5)</w:t>
      </w:r>
    </w:p>
    <w:p w14:paraId="7293F014" w14:textId="77777777" w:rsidR="00B14FA3" w:rsidRPr="00B14FA3" w:rsidRDefault="00B14FA3" w:rsidP="00B14FA3">
      <w:pPr>
        <w:spacing w:line="360" w:lineRule="auto"/>
      </w:pPr>
      <w:r w:rsidRPr="00B14FA3">
        <w:rPr>
          <w:szCs w:val="21"/>
        </w:rPr>
        <w:t>本文使用尺度集合S={1,2,4}。在输入长度L=96时，尺度1保留原始96步序列；尺度2将相邻2个时间点取平均，得到48步序列；尺度4按4个时间点进行平均，得到24步序列。三者分别对应原始、中等和平滑程度更高的时间表示。尺度1不压缩时间轴，因此保留较完整的短时起伏；尺度2对局部变化进行适度平滑；尺度4进一步削弱短时间内的高频变化，使较慢的变化趋势更突出。这里采用平均池化而不是新增可训练的尺度变换模块，是为了在构造多分辨率输入时不额外增加模型参数。</w:t>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p>
    <w:p>
      <w:pPr/>
      <w:r>
        <w:t>尺度集合采用1、2和4，主要是为了在96步历史窗口内形成三个层次清晰且长度均为整数的时间分辨率，同时控制专家数量。尺度继续增加虽然可以产生更粗的序列，但也会继续缩短有效时间长度并增加新的专家分支。本文并不将{1,2,4}作为经过穷举得到的最优尺度组合，而是把它作为兼顾细粒度信息、趋势信息和模型规模的一组固定设计。采用非重叠池化还使每个原始时间点只参与一次同尺度聚合，尺度变化的含义较为直接。</w:t>
      </w:r>
    </w:p>
    <w:p>
      <w:pPr/>
      <w:r>
        <w:t>为直观说明式（5）的尺度变换，图2从Abilene训练集中选取一个非恒定OD变量的96步历史窗口。该窗口和OD变量均按波动程度的中位水平确定，选择过程不使用任何模型误差。尺度2和尺度4直接由同一尺度1窗口分别进行2点和4点非重叠平均得到，因此三条序列对应的是同一段历史流量在不同时间分辨率下的表示。</w:t>
      </w:r>
    </w:p>
    <w:p>
      <w:pPr>
        <w:jc w:val="center"/>
      </w:pPr>
      <w:r>
        <w:drawing>
          <wp:inline xmlns:a="http://schemas.openxmlformats.org/drawingml/2006/main" xmlns:pic="http://schemas.openxmlformats.org/drawingml/2006/picture">
            <wp:extent cx="5349240" cy="4151498"/>
            <wp:docPr id="24" name="Picture 24"/>
            <wp:cNvGraphicFramePr>
              <a:graphicFrameLocks noChangeAspect="1"/>
            </wp:cNvGraphicFramePr>
            <a:graphic>
              <a:graphicData uri="http://schemas.openxmlformats.org/drawingml/2006/picture">
                <pic:pic>
                  <pic:nvPicPr>
                    <pic:cNvPr id="0" name="fig2_multiscale_example.png"/>
                    <pic:cNvPicPr/>
                  </pic:nvPicPr>
                  <pic:blipFill>
                    <a:blip r:embed="rId16"/>
                    <a:stretch>
                      <a:fillRect/>
                    </a:stretch>
                  </pic:blipFill>
                  <pic:spPr>
                    <a:xfrm>
                      <a:off x="0" y="0"/>
                      <a:ext cx="5349240" cy="4151498"/>
                    </a:xfrm>
                    <a:prstGeom prst="rect"/>
                  </pic:spPr>
                </pic:pic>
              </a:graphicData>
            </a:graphic>
          </wp:inline>
        </w:drawing>
      </w:r>
    </w:p>
    <w:p>
      <w:pPr>
        <w:jc w:val="center"/>
      </w:pPr>
      <w:r>
        <w:t>图2 Abilene单个OD变量的多尺度序列构造示例</w:t>
      </w:r>
    </w:p>
    <w:p>
      <w:pPr/>
      <w:r>
        <w:t>从图2可以看到，尺度增大后序列长度由96依次缩短为48和24，局部起伏也逐步被平均。这里的平滑并不是额外的滤波模型，而是式（5）所定义平均池化的直接结果。因此，多尺度构造在不增加可训练参数的情况下，为后续DLinear专家提供了细粒度变化和较慢趋势两类侧重点不同的输入。</w:t>
      </w:r>
    </w:p>
    <w:p w14:paraId="306E219C"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rPr>
        <w:t>1.3 DLinear</w:t>
      </w:r>
      <w:r w:rsidRPr="00B14FA3">
        <w:rPr>
          <w:rFonts w:eastAsia="黑体"/>
          <w:b/>
          <w:bCs/>
          <w:szCs w:val="21"/>
        </w:rPr>
        <w:t>尺度专家</w:t>
      </w:r>
    </w:p>
    <w:p w14:paraId="0C0C1858" w14:textId="77777777" w:rsidR="00B14FA3" w:rsidRPr="00B14FA3" w:rsidRDefault="00B14FA3" w:rsidP="00B14FA3">
      <w:pPr>
        <w:spacing w:line="360" w:lineRule="auto"/>
      </w:pPr>
      <w:r w:rsidRPr="00B14FA3">
        <w:rPr>
          <w:szCs w:val="21"/>
        </w:rPr>
        <w:t>尺度1、2和4分别配置一个DLinear专家[4]，每个专家只处理本尺度对应的输入序列。DLinear的核心思路是先将序列拆分为变化较慢的趋势项和围绕趋势变化的余项，再分别完成时间映射。对尺度s的输入，本文使用长度q=25的中心移动平均提取趋势项。移动平均相当于在局部时间邻域内进行平滑，为避免序列两端因窗口不足而缩短，边界位置采用端点复制方式补齐，从而保持分解前后的时间长度一致：</w:t>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i/>
          <w:iCs/>
          <w:szCs w:val="21"/>
        </w:rPr>
      </w:r>
      <w:r w:rsidRPr="00B14FA3">
        <w:rPr>
          <w:szCs w:val="21"/>
        </w:rPr>
      </w:r>
      <w:r w:rsidRPr="00B14FA3">
        <w:rPr>
          <w:szCs w:val="21"/>
        </w:rPr>
      </w:r>
    </w:p>
    <w:p w14:paraId="470EA410"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T</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q</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i=-m</m:t>
                </m:r>
              </m:e>
            </m:d>
          </m:sub>
          <m:sup>
            <m:d>
              <m:dPr>
                <m:begChr m:val="{"/>
                <m:endChr m:val="}"/>
                <m:ctrlPr>
                  <w:rPr>
                    <w:rFonts w:ascii="Cambria Math" w:eastAsia="Cambria Math" w:hAnsi="Cambria Math"/>
                    <w:i/>
                  </w:rPr>
                </m:ctrlPr>
              </m:dPr>
              <m:e>
                <m:r>
                  <w:rPr>
                    <w:rFonts w:ascii="Cambria Math" w:eastAsia="Cambria Math" w:hAnsi="Cambria Math"/>
                    <w:kern w:val="0"/>
                    <w:szCs w:val="20"/>
                  </w:rPr>
                  <m:t>m</m:t>
                </m:r>
              </m:e>
            </m:d>
            <m:sSubSup>
              <m:sSubSupPr>
                <m:ctrlPr>
                  <w:rPr>
                    <w:rFonts w:ascii="Cambria Math" w:eastAsia="Cambria Math" w:hAnsi="Cambria Math"/>
                    <w:i/>
                  </w:rPr>
                </m:ctrlPr>
              </m:sSubSupPr>
              <m:e>
                <m:acc>
                  <m:accPr>
                    <m:chr m:val="̄"/>
                    <m:ctrlPr>
                      <w:rPr>
                        <w:rFonts w:ascii="Cambria Math" w:eastAsia="Cambria Math" w:hAnsi="Cambria Math"/>
                        <w:i/>
                      </w:rPr>
                    </m:ctrlPr>
                  </m:accPr>
                  <m:e>
                    <m:r>
                      <m:rPr>
                        <m:sty m:val="bi"/>
                      </m:rPr>
                      <w:rPr>
                        <w:rFonts w:ascii="Cambria Math" w:eastAsia="Cambria Math" w:hAnsi="Cambria Math"/>
                        <w:kern w:val="0"/>
                        <w:szCs w:val="20"/>
                      </w:rPr>
                      <m:t>X</m:t>
                    </m:r>
                  </m:e>
                </m:acc>
              </m:e>
              <m:sub>
                <m:d>
                  <m:dPr>
                    <m:begChr m:val="{"/>
                    <m:endChr m:val="}"/>
                    <m:ctrlPr>
                      <w:rPr>
                        <w:rFonts w:ascii="Cambria Math" w:eastAsia="Cambria Math" w:hAnsi="Cambria Math"/>
                        <w:i/>
                      </w:rPr>
                    </m:ctrlPr>
                  </m:dPr>
                  <m:e>
                    <m:r>
                      <w:rPr>
                        <w:rFonts w:ascii="Cambria Math" w:eastAsia="Cambria Math" w:hAnsi="Cambria Math"/>
                        <w:kern w:val="0"/>
                        <w:szCs w:val="20"/>
                      </w:rPr>
                      <m:t>n,t+i</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     q=2m+1=25,</m:t>
        </m:r>
      </m:oMath>
      <w:r w:rsidRPr="00B14FA3">
        <w:rPr>
          <w:rFonts w:ascii="Cambria Math" w:eastAsia="Cambria Math" w:hAnsi="Cambria Math"/>
          <w:kern w:val="0"/>
          <w:szCs w:val="20"/>
        </w:rPr>
        <w:tab/>
      </w:r>
      <w:r w:rsidRPr="00B14FA3">
        <w:rPr>
          <w:kern w:val="0"/>
          <w:szCs w:val="20"/>
        </w:rPr>
        <w:t>(6)</w:t>
      </w:r>
    </w:p>
    <w:p w14:paraId="17B8C737"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X</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(7)</w:t>
      </w:r>
    </w:p>
    <w:p w14:paraId="26BF54CF" w14:textId="77777777" w:rsidR="00B14FA3" w:rsidRPr="00B14FA3" w:rsidRDefault="00B14FA3" w:rsidP="00B14FA3">
      <w:pPr>
        <w:spacing w:line="360" w:lineRule="auto"/>
      </w:pPr>
      <w:r>
        <w:rPr>
          <w:szCs w:val="21"/>
        </w:rPr>
        <w:t>趋势项</w:t>
      </w:r>
      <w:r>
        <w:rPr>
          <w:b/>
          <w:bCs/>
          <w:i/>
          <w:iCs/>
          <w:szCs w:val="21"/>
        </w:rPr>
        <w:t>T</w:t>
      </w:r>
      <w:r>
        <w:rPr>
          <w:szCs w:val="21"/>
          <w:vertAlign w:val="superscript"/>
        </w:rPr>
        <w:t>(</w:t>
      </w:r>
      <w:r>
        <w:rPr>
          <w:i/>
          <w:iCs/>
          <w:szCs w:val="21"/>
          <w:vertAlign w:val="superscript"/>
        </w:rPr>
        <w:t>s</w:t>
      </w:r>
      <w:r>
        <w:rPr>
          <w:szCs w:val="21"/>
          <w:vertAlign w:val="superscript"/>
        </w:rPr>
        <w:t>)</w:t>
      </w:r>
      <w:r>
        <w:rPr>
          <w:szCs w:val="21"/>
        </w:rPr>
        <w:t>和余项</w:t>
      </w:r>
      <w:r>
        <w:rPr>
          <w:b/>
          <w:bCs/>
          <w:i/>
          <w:iCs/>
          <w:szCs w:val="21"/>
        </w:rPr>
        <w:t>R</w:t>
      </w:r>
      <w:r>
        <w:rPr>
          <w:szCs w:val="21"/>
          <w:vertAlign w:val="superscript"/>
        </w:rPr>
        <w:t>(</w:t>
      </w:r>
      <w:r>
        <w:rPr>
          <w:i/>
          <w:iCs/>
          <w:szCs w:val="21"/>
          <w:vertAlign w:val="superscript"/>
        </w:rPr>
        <w:t>s</w:t>
      </w:r>
      <w:r>
        <w:rPr>
          <w:szCs w:val="21"/>
          <w:vertAlign w:val="superscript"/>
        </w:rPr>
        <w:t>)</w:t>
      </w:r>
      <w:r>
        <w:rPr>
          <w:szCs w:val="21"/>
        </w:rPr>
        <w:t>沿时间维分别通过线性层映射到预测长度</w:t>
      </w:r>
      <w:r>
        <w:rPr>
          <w:i/>
          <w:iCs/>
          <w:szCs w:val="21"/>
        </w:rPr>
        <w:t>H</w:t>
      </w:r>
      <w:r>
        <w:rPr>
          <w:szCs w:val="21"/>
        </w:rPr>
        <w:t>：</w:t>
      </w:r>
    </w:p>
    <w:p w14:paraId="15255C2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W</m:t>
            </m:r>
          </m:e>
          <m:sub>
            <m:r>
              <m:rPr>
                <m:sty m:val="p"/>
              </m:rP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m:rPr>
                    <m:sty m:val="bi"/>
                  </m:rP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b</m:t>
            </m:r>
          </m:e>
          <m:sub>
            <m:r>
              <m:rPr>
                <m:sty m:val="p"/>
              </m:rP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W</m:t>
            </m:r>
          </m:e>
          <m:sub>
            <m:r>
              <m:rPr>
                <m:sty m:val="p"/>
              </m:rP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m:rPr>
                    <m:sty m:val="bi"/>
                  </m:rP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b</m:t>
            </m:r>
          </m:e>
          <m:sub>
            <m:r>
              <m:rPr>
                <m:sty m:val="p"/>
              </m:rP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(8)</w:t>
      </w:r>
    </w:p>
    <w:p w14:paraId="554CD434" w14:textId="77777777" w:rsidR="00B14FA3" w:rsidRPr="00B14FA3" w:rsidRDefault="00B14FA3" w:rsidP="00B14FA3">
      <w:pPr>
        <w:spacing w:line="360" w:lineRule="auto"/>
      </w:pPr>
      <w:r>
        <w:rPr>
          <w:szCs w:val="21"/>
        </w:rPr>
        <w:t>由式（6）和式（7）可得到尺度s上的趋势项T(s)和余项R(s)。趋势项表示经过局部平滑后保留下来的较慢变化部分，余项则由原序列减去趋势项得到，保留未被移动平均解释的局部变化。式（8）分别对两部分沿时间维进行线性映射，并把二者的预测结果相加形成该尺度的候选预测。3个尺度使用独立DLinear专家，是因为尺度1、2和4的输入长度分别为96、48和24，对应的时间分辨率和时间映射关系并不相同；若强制共用一组尺度间参数，会把不同长度、不同平滑程度的序列约束到同一映射中。同一尺度内部，各OD变量共享时间映射参数，模型学习的是这一时间尺度下通用的时间映射形式，而不是为每个OD变量分别建立一套线性层。</w:t>
      </w:r>
      <w:r w:rsidRPr="00B14FA3">
        <w:rPr>
          <w:szCs w:val="21"/>
        </w:rPr>
      </w:r>
      <w:r w:rsidRPr="00B14FA3">
        <w:rPr>
          <w:szCs w:val="21"/>
        </w:rPr>
      </w:r>
      <w:r w:rsidRPr="00B14FA3">
        <w:rPr>
          <w:szCs w:val="21"/>
        </w:rPr>
      </w:r>
      <w:r w:rsidRPr="00B14FA3">
        <w:rPr>
          <w:szCs w:val="21"/>
        </w:rPr>
      </w:r>
      <w:r w:rsidRPr="00B14FA3">
        <w:rPr>
          <w:szCs w:val="21"/>
        </w:rPr>
      </w:r>
    </w:p>
    <w:p>
      <w:pPr/>
      <w:r>
        <w:t>选择DLinear作为尺度专家还有一个考虑：本文需要比较“单尺度预测”“固定等权多尺度”和“样本级自适应多尺度”之间的差异。如果尺度专家本身使用结构过于复杂的网络，最终误差变化会同时受到预测主干和尺度融合机制的影响。DLinear参数结构较清晰，因此可以在保持预测能力的同时，把实验关注点更多放在多尺度输入和权重分配方式上。</w:t>
      </w:r>
    </w:p>
    <w:p w14:paraId="7F75A3C8"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rPr>
        <w:t xml:space="preserve">1.4 </w:t>
      </w:r>
      <w:r w:rsidRPr="00B14FA3">
        <w:rPr>
          <w:rFonts w:eastAsia="黑体"/>
          <w:b/>
          <w:bCs/>
          <w:szCs w:val="21"/>
        </w:rPr>
        <w:t>样本级自适应尺度加权</w:t>
      </w:r>
    </w:p>
    <w:p w14:paraId="5F192824" w14:textId="77777777" w:rsidR="00B14FA3" w:rsidRPr="00B14FA3" w:rsidRDefault="00B14FA3" w:rsidP="00B14FA3">
      <w:pPr>
        <w:spacing w:line="360" w:lineRule="auto"/>
      </w:pPr>
      <w:r>
        <w:rPr>
          <w:szCs w:val="21"/>
        </w:rPr>
        <w:t>经过3个DLinear专家后，同一样本会得到3组预测结果。下一步需要确定这些结果在最终预测中的比例。最直接的方式是令3个尺度均取1/3，但这种处理默认所有输入窗口的尺度需求完全相同。实际上，某些窗口的局部波动较明显，细粒度信息可能更值得保留；另一些窗口变化较平稳，较粗尺度中的趋势信息可能更有参考价值。因此，本文不直接固定融合比例，而是从原始输入Xn中提取四维统计向量zn=[μn,σn,ℓn,dn]，用这些统计量描述当前窗口状态，其中</w:t>
      </w:r>
      <w:r>
        <w:rPr>
          <w:b/>
          <w:bCs/>
          <w:i/>
          <w:iCs/>
          <w:szCs w:val="21"/>
        </w:rPr>
      </w:r>
      <w:r>
        <w:rPr>
          <w:i/>
          <w:iCs/>
          <w:szCs w:val="21"/>
          <w:vertAlign w:val="subscript"/>
        </w:rPr>
      </w:r>
      <w:r>
        <w:rPr>
          <w:szCs w:val="21"/>
        </w:rPr>
      </w:r>
      <w:r>
        <w:rPr>
          <w:szCs w:val="21"/>
        </w:rPr>
      </w:r>
      <w:r>
        <w:rPr>
          <w:b/>
          <w:bCs/>
          <w:i/>
          <w:iCs/>
          <w:szCs w:val="21"/>
        </w:rPr>
      </w:r>
      <w:r>
        <w:rPr>
          <w:i/>
          <w:iCs/>
          <w:szCs w:val="21"/>
          <w:vertAlign w:val="subscript"/>
        </w:rPr>
      </w:r>
      <w:r>
        <w:rPr>
          <w:szCs w:val="21"/>
        </w:rPr>
      </w:r>
      <w:r>
        <w:rPr>
          <w:i/>
          <w:iCs/>
          <w:szCs w:val="21"/>
        </w:rPr>
      </w:r>
      <w:r>
        <w:rPr>
          <w:i/>
          <w:iCs/>
          <w:szCs w:val="21"/>
          <w:vertAlign w:val="subscript"/>
        </w:rPr>
      </w:r>
      <w:r>
        <w:rPr>
          <w:szCs w:val="21"/>
        </w:rPr>
      </w:r>
      <w:r>
        <w:rPr>
          <w:i/>
          <w:iCs/>
          <w:szCs w:val="21"/>
        </w:rPr>
      </w:r>
      <w:r>
        <w:rPr>
          <w:i/>
          <w:iCs/>
          <w:szCs w:val="21"/>
          <w:vertAlign w:val="subscript"/>
        </w:rPr>
      </w:r>
      <w:r>
        <w:rPr>
          <w:szCs w:val="21"/>
        </w:rPr>
      </w:r>
      <w:r>
        <w:rPr>
          <w:i/>
          <w:iCs/>
          <w:szCs w:val="21"/>
        </w:rPr>
      </w:r>
      <w:r>
        <w:rPr>
          <w:i/>
          <w:iCs/>
          <w:szCs w:val="21"/>
          <w:vertAlign w:val="subscript"/>
        </w:rPr>
      </w:r>
      <w:r>
        <w:rPr>
          <w:szCs w:val="21"/>
        </w:rPr>
      </w:r>
      <w:r>
        <w:rPr>
          <w:i/>
          <w:iCs/>
          <w:szCs w:val="21"/>
        </w:rPr>
      </w:r>
      <w:r>
        <w:rPr>
          <w:i/>
          <w:iCs/>
          <w:szCs w:val="21"/>
          <w:vertAlign w:val="subscript"/>
        </w:rPr>
      </w:r>
      <w:r>
        <w:rPr>
          <w:szCs w:val="21"/>
        </w:rPr>
      </w:r>
      <w:r>
        <w:rPr>
          <w:szCs w:val="21"/>
        </w:rPr>
      </w:r>
    </w:p>
    <w:p w14:paraId="6325C9EA"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n</m:t>
            </m:r>
          </m:sub>
        </m:sSub>
        <m:r>
          <w:rPr>
            <w:rFonts w:ascii="Cambria Math" w:eastAsia="Cambria Math" w:hAnsi="Cambria Math"/>
            <w:kern w:val="0"/>
            <w:szCs w:val="20"/>
          </w:rPr>
          <m:t>=</m:t>
        </m:r>
        <m:rad>
          <m:radPr>
            <m:degHide m:val="1"/>
            <m:ctrlPr>
              <w:rPr>
                <w:rFonts w:ascii="Cambria Math" w:eastAsia="Cambria Math" w:hAnsi="Cambria Math"/>
                <w:i/>
              </w:rPr>
            </m:ctrlPr>
          </m:radPr>
          <m:deg/>
          <m:e>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d>
                  <m:dPr>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e>
                </m:d>
              </m:sub>
              <m:sup>
                <m:r>
                  <w:rPr>
                    <w:rFonts w:ascii="Cambria Math" w:eastAsia="Cambria Math" w:hAnsi="Cambria Math"/>
                    <w:kern w:val="0"/>
                    <w:szCs w:val="20"/>
                  </w:rPr>
                  <m:t>2</m:t>
                </m:r>
              </m:sup>
            </m:sSubSup>
          </m:e>
        </m:rad>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(9)</w:t>
      </w:r>
    </w:p>
    <w:p w14:paraId="3BBFF1DF"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cr m:val="script"/>
              </m:rPr>
              <w:rPr>
                <w:rFonts w:ascii="Cambria Math" w:eastAsia="Cambria Math" w:hAnsi="Cambria Math"/>
                <w:kern w:val="0"/>
                <w:szCs w:val="20"/>
              </w:rPr>
              <m:t>l</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c</m:t>
            </m:r>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d</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d>
                  <m:dPr>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t=1</m:t>
                    </m:r>
                  </m:e>
                </m:d>
              </m:e>
              <m:sub>
                <m:r>
                  <w:rPr>
                    <w:rFonts w:ascii="Cambria Math" w:eastAsia="Cambria Math" w:hAnsi="Cambria Math"/>
                    <w:kern w:val="0"/>
                    <w:szCs w:val="20"/>
                  </w:rPr>
                  <m:t>c</m:t>
                </m:r>
                <m:d>
                  <m:dPr>
                    <m:begChr m:val="|"/>
                    <m:endChr m:val="|"/>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n,t-1,c</m:t>
                            </m:r>
                          </m:e>
                        </m:d>
                      </m:sub>
                    </m:sSub>
                  </m:e>
                </m:d>
              </m:sub>
              <m:sup>
                <m:d>
                  <m:dPr>
                    <m:begChr m:val="{"/>
                    <m:endChr m:val="}"/>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Σ</m:t>
                </m:r>
              </m:sup>
            </m:sSubSup>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(10)</w:t>
      </w:r>
    </w:p>
    <w:p w14:paraId="4DAEC603" w14:textId="77777777" w:rsidR="00B14FA3" w:rsidRPr="00B14FA3" w:rsidRDefault="00B14FA3" w:rsidP="00B14FA3">
      <w:pPr>
        <w:spacing w:line="360" w:lineRule="auto"/>
      </w:pPr>
      <w:r>
        <w:rPr>
          <w:i/>
          <w:iCs/>
          <w:szCs w:val="21"/>
        </w:rPr>
        <w:t>μn、σn、ℓn和dn分别表示输入窗口的总体水平、离散程度、最近状态和平均变化强度。μn用于概括当前窗口整体处于较高还是较低的流量水平；σn反映窗口内部各观测值的离散程度，可用于描述整体波动大小；ℓn对应窗口末时刻的平均状态，为路由器提供最接近预测起点的信息；dn由相邻时间点的一阶变化构造，用于补充窗口内部变化速度的信息。这4个统计量分别从水平、波动、最近状态和局部变化四个角度概括输入窗口。它们并不直接承担未来流量预测，而是作为尺度选择的依据。</w:t>
      </w:r>
      <w:r>
        <w:rPr>
          <w:i/>
          <w:iCs/>
          <w:szCs w:val="21"/>
          <w:vertAlign w:val="subscript"/>
        </w:rPr>
      </w:r>
      <w:r>
        <w:rPr>
          <w:szCs w:val="21"/>
        </w:rPr>
      </w:r>
      <w:r>
        <w:rPr>
          <w:i/>
          <w:iCs/>
          <w:szCs w:val="21"/>
        </w:rPr>
      </w:r>
      <w:r>
        <w:rPr>
          <w:i/>
          <w:iCs/>
          <w:szCs w:val="21"/>
          <w:vertAlign w:val="subscript"/>
        </w:rPr>
      </w:r>
      <w:r>
        <w:rPr>
          <w:szCs w:val="21"/>
        </w:rPr>
      </w:r>
      <w:r>
        <w:rPr>
          <w:i/>
          <w:iCs/>
          <w:szCs w:val="21"/>
        </w:rPr>
      </w:r>
      <w:r>
        <w:rPr>
          <w:i/>
          <w:iCs/>
          <w:szCs w:val="21"/>
          <w:vertAlign w:val="subscript"/>
        </w:rPr>
      </w:r>
      <w:r>
        <w:rPr>
          <w:szCs w:val="21"/>
        </w:rPr>
      </w:r>
      <w:r>
        <w:rPr>
          <w:i/>
          <w:iCs/>
          <w:szCs w:val="21"/>
        </w:rPr>
      </w:r>
      <w:r>
        <w:rPr>
          <w:i/>
          <w:iCs/>
          <w:szCs w:val="21"/>
          <w:vertAlign w:val="subscript"/>
        </w:rPr>
      </w:r>
      <w:r>
        <w:rPr>
          <w:szCs w:val="21"/>
        </w:rPr>
      </w:r>
      <w:r>
        <w:rPr>
          <w:szCs w:val="21"/>
        </w:rPr>
      </w:r>
      <w:r>
        <w:rPr>
          <w:szCs w:val="21"/>
        </w:rPr>
      </w:r>
    </w:p>
    <w:p w14:paraId="44EF3E4D"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ty m:val="bi"/>
              </m:rPr>
              <w:rPr>
                <w:rFonts w:ascii="Cambria Math" w:eastAsia="Cambria Math" w:hAnsi="Cambria Math"/>
                <w:kern w:val="0"/>
                <w:szCs w:val="20"/>
              </w:rPr>
              <m:t>a</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W</m:t>
            </m:r>
          </m:e>
          <m:sub>
            <m:r>
              <m:rPr>
                <m:sty m:val="p"/>
              </m:rPr>
              <w:rPr>
                <w:rFonts w:ascii="Cambria Math" w:eastAsia="Cambria Math" w:hAnsi="Cambria Math"/>
                <w:kern w:val="0"/>
                <w:szCs w:val="20"/>
              </w:rPr>
              <m:t>2ReLU</m:t>
            </m:r>
            <m:d>
              <m:dPr>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W</m:t>
                    </m:r>
                  </m:e>
                  <m:sub>
                    <m:r>
                      <w:rPr>
                        <w:rFonts w:ascii="Cambria Math" w:eastAsia="Cambria Math" w:hAnsi="Cambria Math"/>
                        <w:kern w:val="0"/>
                        <w:szCs w:val="20"/>
                      </w:rPr>
                      <m:t>1</m:t>
                    </m:r>
                    <m:sSub>
                      <m:sSubPr>
                        <m:ctrlPr>
                          <w:rPr>
                            <w:rFonts w:ascii="Cambria Math" w:eastAsia="Cambria Math" w:hAnsi="Cambria Math"/>
                            <w:i/>
                          </w:rPr>
                        </m:ctrlPr>
                      </m:sSubPr>
                      <m:e>
                        <m:r>
                          <m:rPr>
                            <m:sty m:val="bi"/>
                          </m:rPr>
                          <w:rPr>
                            <w:rFonts w:ascii="Cambria Math" w:eastAsia="Cambria Math" w:hAnsi="Cambria Math"/>
                            <w:kern w:val="0"/>
                            <w:szCs w:val="20"/>
                          </w:rPr>
                          <m:t>z</m:t>
                        </m:r>
                      </m:e>
                      <m:sub>
                        <m:r>
                          <w:rPr>
                            <w:rFonts w:ascii="Cambria Math" w:eastAsia="Cambria Math" w:hAnsi="Cambria Math"/>
                            <w:kern w:val="0"/>
                            <w:szCs w:val="20"/>
                          </w:rPr>
                          <m:t>n</m:t>
                        </m:r>
                      </m:sub>
                    </m:sSub>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b</m:t>
                    </m:r>
                  </m:e>
                  <m:sub>
                    <m:r>
                      <w:rPr>
                        <w:rFonts w:ascii="Cambria Math" w:eastAsia="Cambria Math" w:hAnsi="Cambria Math"/>
                        <w:kern w:val="0"/>
                        <w:szCs w:val="20"/>
                      </w:rPr>
                      <m:t>1</m:t>
                    </m:r>
                  </m:sub>
                </m:sSub>
              </m:e>
            </m:d>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b</m:t>
            </m:r>
          </m:e>
          <m:sub>
            <m:r>
              <w:rPr>
                <w:rFonts w:ascii="Cambria Math" w:eastAsia="Cambria Math" w:hAnsi="Cambria Math"/>
                <w:kern w:val="0"/>
                <w:szCs w:val="20"/>
              </w:rPr>
              <m:t>2</m:t>
            </m:r>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(11)</w:t>
      </w:r>
    </w:p>
    <w:p>
      <w:pPr/>
      <w:r>
        <w:t>四维向量输入隐藏维数为16的两层感知器，输出3个尺度对应的未归一化分数。这里没有再使用额外的循环网络、注意力网络或其他完整时序编码器，原因是路由器的任务不是重新学习一遍OD流量预测，而只是根据已经提取的窗口状态判断三个尺度的相对重要程度。低维统计量和较小隐藏层可以把路由模块的参数规模限制在较低水平。其尺度分数计算为</w:t>
      </w:r>
    </w:p>
    <w:p w14:paraId="2935E851" w14:textId="77777777" w:rsidR="00B14FA3" w:rsidRPr="00B14FA3" w:rsidRDefault="00B14FA3" w:rsidP="00B14FA3">
      <w:pPr>
        <w:spacing w:line="360" w:lineRule="auto"/>
      </w:pPr>
      <w:r>
        <w:rPr>
          <w:szCs w:val="21"/>
        </w:rPr>
        <w:t>式（11）得到的3个尺度分数仍是未归一化值。为使这些分数可以直接解释为各专家在最终预测中的相对贡献，使用Softmax进行归一化。经Softmax处理后，每个权重均为非负值，并且3个权重之和为1：</w:t>
      </w:r>
      <w:r w:rsidRPr="00B14FA3">
        <w:rPr>
          <w:szCs w:val="21"/>
        </w:rPr>
      </w:r>
      <w:r w:rsidRPr="00B14FA3">
        <w:rPr>
          <w:szCs w:val="21"/>
        </w:rPr>
      </w:r>
      <w:r w:rsidRPr="00B14FA3">
        <w:rPr>
          <w:szCs w:val="21"/>
        </w:rPr>
      </w:r>
      <w:r w:rsidRPr="00B14FA3">
        <w:rPr>
          <w:szCs w:val="21"/>
        </w:rPr>
      </w:r>
    </w:p>
    <w:p w14:paraId="141E24D3"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m:t>
        </m:r>
        <m:f>
          <m:fPr>
            <m:ctrlPr>
              <w:rPr>
                <w:rFonts w:ascii="Cambria Math" w:eastAsia="Cambria Math" w:hAnsi="Cambria Math"/>
                <w:i/>
              </w:rPr>
            </m:ctrlPr>
          </m:fPr>
          <m:num>
            <m:func>
              <m:funcPr>
                <m:ctrlPr>
                  <w:rPr>
                    <w:rFonts w:ascii="Cambria Math" w:eastAsia="Cambria Math" w:hAnsi="Cambria Math"/>
                  </w:rPr>
                </m:ctrlPr>
              </m:funcPr>
              <m:fName>
                <m:r>
                  <m:rPr>
                    <m:sty m:val="p"/>
                  </m:rPr>
                  <w:rPr>
                    <w:rFonts w:ascii="Cambria Math" w:eastAsia="Cambria Math" w:hAnsi="Cambria Math"/>
                    <w:kern w:val="0"/>
                    <w:szCs w:val="20"/>
                  </w:rPr>
                  <m:t>exp</m:t>
                </m:r>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e>
                </m:d>
              </m:e>
            </m:func>
          </m:num>
          <m:den>
            <m:func>
              <m:funcPr>
                <m:ctrlPr>
                  <w:rPr>
                    <w:rFonts w:ascii="Cambria Math" w:eastAsia="Cambria Math" w:hAnsi="Cambria Math"/>
                  </w:rPr>
                </m:ctrlPr>
              </m:funcPr>
              <m:fName>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j∈S</m:t>
                        </m:r>
                      </m:e>
                    </m:d>
                    <m:r>
                      <m:rPr>
                        <m:sty m:val="p"/>
                      </m:rPr>
                      <w:rPr>
                        <w:rFonts w:ascii="Cambria Math" w:eastAsia="Cambria Math" w:hAnsi="Cambria Math"/>
                        <w:kern w:val="0"/>
                        <w:szCs w:val="20"/>
                      </w:rPr>
                      <m:t>exp</m:t>
                    </m:r>
                  </m:sub>
                </m:sSub>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n,j</m:t>
                            </m:r>
                          </m:e>
                        </m:d>
                      </m:sub>
                    </m:sSub>
                  </m:e>
                </m:d>
              </m:e>
            </m:func>
          </m:den>
        </m:f>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 xml:space="preserve">≥0,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s</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sub>
        </m:sSub>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(12)</w:t>
      </w:r>
    </w:p>
    <w:p w14:paraId="63776B5F" w14:textId="77777777" w:rsidR="00B14FA3" w:rsidRPr="00B14FA3" w:rsidRDefault="00B14FA3" w:rsidP="00B14FA3">
      <w:pPr>
        <w:spacing w:line="360" w:lineRule="auto"/>
      </w:pPr>
      <w:r w:rsidRPr="00B14FA3">
        <w:rPr>
          <w:szCs w:val="21"/>
        </w:rPr>
        <w:t>最终预测为</w:t>
      </w:r>
    </w:p>
    <w:p w14:paraId="775F089B"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ty m:val="bi"/>
              </m:rPr>
              <w:rPr>
                <w:rFonts w:ascii="Cambria Math" w:eastAsia="Cambria Math" w:hAnsi="Cambria Math"/>
                <w:kern w:val="0"/>
                <w:szCs w:val="20"/>
              </w:rPr>
              <m:t>Ŷ</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s∈S</m:t>
                </m:r>
              </m:e>
            </m:d>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SubSup>
                  <m:sSubSupPr>
                    <m:ctrlPr>
                      <w:rPr>
                        <w:rFonts w:ascii="Cambria Math" w:eastAsia="Cambria Math" w:hAnsi="Cambria Math"/>
                        <w:i/>
                      </w:rPr>
                    </m:ctrlPr>
                  </m:sSubSupPr>
                  <m:e>
                    <m:r>
                      <m:rPr>
                        <m:sty m:val="bi"/>
                      </m:rP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b>
            </m:sSub>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(13)</w:t>
      </w:r>
    </w:p>
    <w:p w14:paraId="13DA0E22" w14:textId="77777777" w:rsidR="00B14FA3" w:rsidRPr="00B14FA3" w:rsidRDefault="00B14FA3" w:rsidP="00B14FA3">
      <w:pPr>
        <w:spacing w:line="360" w:lineRule="auto"/>
      </w:pPr>
      <w:r>
        <w:rPr>
          <w:szCs w:val="21"/>
        </w:rPr>
        <w:t>式（13）利用上述权重对3个DLinear专家的预测结果进行加权求和，得到最终预测Ŷn。这里的权重是样本级而不是全局固定参数，即不同输入窗口可以得到不同的尺度组合；同一个输入窗口内，该组权重由全部OD变量共享。这样处理可以避免为每个OD变量单独设置路由器，从而控制参数量。为了区分“使用多尺度”与“使用自适应权重”两部分作用，固定等权消融模型直接把3个尺度权重设为1/3，其尺度集合、DLinear专家、数据处理和训练过程均保持一致。</w:t>
      </w:r>
      <w:r>
        <w:rPr>
          <w:szCs w:val="21"/>
        </w:rPr>
      </w:r>
      <w:r>
        <w:rPr>
          <w:szCs w:val="21"/>
        </w:rPr>
      </w:r>
      <w:r>
        <w:rPr>
          <w:i/>
          <w:iCs/>
          <w:szCs w:val="21"/>
        </w:rPr>
      </w:r>
      <w:r>
        <w:rPr>
          <w:i/>
          <w:iCs/>
          <w:szCs w:val="21"/>
          <w:vertAlign w:val="subscript"/>
        </w:rPr>
      </w:r>
      <w:r>
        <w:rPr>
          <w:szCs w:val="21"/>
        </w:rPr>
      </w:r>
      <w:r>
        <w:rPr>
          <w:szCs w:val="21"/>
        </w:rPr>
      </w:r>
    </w:p>
    <w:p w14:paraId="2F5CF084" w14:textId="77777777" w:rsidR="00B14FA3" w:rsidRPr="00B14FA3" w:rsidRDefault="00B14FA3" w:rsidP="00B14FA3">
      <w:pPr>
        <w:keepNext/>
        <w:keepLines/>
        <w:spacing w:before="80" w:after="20" w:line="415" w:lineRule="auto"/>
        <w:ind w:firstLine="0"/>
        <w:jc w:val="left"/>
        <w:outlineLvl w:val="1"/>
        <w:rPr>
          <w:rFonts w:eastAsia="黑体"/>
          <w:b/>
          <w:bCs/>
          <w:szCs w:val="32"/>
        </w:rPr>
      </w:pPr>
      <w:r>
        <w:rPr>
          <w:rFonts w:eastAsia="黑体"/>
          <w:b/>
          <w:bCs/>
          <w:szCs w:val="21"/>
        </w:rPr>
        <w:t xml:space="preserve">1.5 </w:t>
      </w:r>
      <w:r>
        <w:rPr>
          <w:rFonts w:eastAsia="黑体"/>
          <w:b/>
          <w:bCs/>
          <w:szCs w:val="21"/>
        </w:rPr>
        <w:t>训练目标与模型复杂度</w:t>
      </w:r>
    </w:p>
    <w:p w14:paraId="1B83BA58" w14:textId="77777777" w:rsidR="00B14FA3" w:rsidRPr="00B14FA3" w:rsidRDefault="00B14FA3" w:rsidP="00B14FA3">
      <w:pPr>
        <w:spacing w:line="360" w:lineRule="auto"/>
      </w:pPr>
      <w:r w:rsidRPr="00B14FA3">
        <w:rPr>
          <w:szCs w:val="21"/>
        </w:rPr>
        <w:t>模型训练以均方误差作为优化目标。误差在训练样本、未来H个预测时刻以及全部C个OD变量上共同计算，因此每次参数更新同时考虑不同预测步和不同OD维度的偏差。对应训练目标为</w:t>
      </w:r>
      <w:r w:rsidRPr="00B14FA3">
        <w:rPr>
          <w:szCs w:val="21"/>
        </w:rPr>
      </w:r>
      <w:r w:rsidRPr="00B14FA3">
        <w:rPr>
          <w:szCs w:val="21"/>
        </w:rPr>
      </w:r>
    </w:p>
    <w:p w14:paraId="279072E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L</m:t>
            </m:r>
          </m:e>
          <m:sub>
            <m:d>
              <m:dPr>
                <m:begChr m:val="{"/>
                <m:endChr m:val="}"/>
                <m:ctrlPr>
                  <w:rPr>
                    <w:rFonts w:ascii="Cambria Math" w:eastAsia="Cambria Math" w:hAnsi="Cambria Math"/>
                    <w:i/>
                  </w:rPr>
                </m:ctrlPr>
              </m:dPr>
              <m:e>
                <m:r>
                  <m:rPr>
                    <m:sty m:val="p"/>
                  </m:rPr>
                  <w:rPr>
                    <w:rFonts w:ascii="Cambria Math" w:eastAsia="Cambria Math" w:hAnsi="Cambria Math"/>
                    <w:kern w:val="0"/>
                    <w:szCs w:val="20"/>
                  </w:rPr>
                  <m:t>MSE</m:t>
                </m:r>
              </m:e>
            </m:d>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NHC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n=1</m:t>
                </m:r>
              </m:e>
            </m:d>
          </m:sub>
          <m:sup>
            <m:d>
              <m:dPr>
                <m:begChr m:val="{"/>
                <m:endChr m:val="}"/>
                <m:ctrlPr>
                  <w:rPr>
                    <w:rFonts w:ascii="Cambria Math" w:eastAsia="Cambria Math" w:hAnsi="Cambria Math"/>
                    <w:i/>
                  </w:rPr>
                </m:ctrlPr>
              </m:dPr>
              <m:e>
                <m:r>
                  <w:rPr>
                    <w:rFonts w:ascii="Cambria Math" w:eastAsia="Cambria Math" w:hAnsi="Cambria Math"/>
                    <w:kern w:val="0"/>
                    <w:szCs w:val="20"/>
                  </w:rPr>
                  <m:t>N</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h=1</m:t>
                    </m:r>
                  </m:e>
                </m:d>
              </m:sub>
              <m:sup>
                <m:d>
                  <m:dPr>
                    <m:begChr m:val="{"/>
                    <m:endChr m:val="}"/>
                    <m:ctrlPr>
                      <w:rPr>
                        <w:rFonts w:ascii="Cambria Math" w:eastAsia="Cambria Math" w:hAnsi="Cambria Math"/>
                        <w:i/>
                      </w:rPr>
                    </m:ctrlPr>
                  </m:dPr>
                  <m:e>
                    <m:r>
                      <w:rPr>
                        <w:rFonts w:ascii="Cambria Math" w:eastAsia="Cambria Math" w:hAnsi="Cambria Math"/>
                        <w:kern w:val="0"/>
                        <w:szCs w:val="20"/>
                      </w:rPr>
                      <m:t>H</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c=1</m:t>
                        </m:r>
                      </m:e>
                    </m:d>
                  </m:sub>
                  <m:sup>
                    <m:d>
                      <m:dPr>
                        <m:begChr m:val="{"/>
                        <m:endChr m:val="}"/>
                        <m:ctrlPr>
                          <w:rPr>
                            <w:rFonts w:ascii="Cambria Math" w:eastAsia="Cambria Math" w:hAnsi="Cambria Math"/>
                            <w:i/>
                          </w:rPr>
                        </m:ctrlPr>
                      </m:dPr>
                      <m:e>
                        <m:r>
                          <w:rPr>
                            <w:rFonts w:ascii="Cambria Math" w:eastAsia="Cambria Math" w:hAnsi="Cambria Math"/>
                            <w:kern w:val="0"/>
                            <w:szCs w:val="20"/>
                          </w:rPr>
                          <m:t>C</m:t>
                        </m:r>
                      </m:e>
                    </m:d>
                    <m:sSup>
                      <m:sSupPr>
                        <m:ctrlPr>
                          <w:rPr>
                            <w:rFonts w:ascii="Cambria Math" w:eastAsia="Cambria Math" w:hAnsi="Cambria Math"/>
                            <w:i/>
                          </w:rPr>
                        </m:ctrlPr>
                      </m:sSupPr>
                      <m:e>
                        <m:d>
                          <m:dPr>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Y</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Ŷ</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e>
                        </m:d>
                      </m:e>
                      <m:sup>
                        <m:r>
                          <w:rPr>
                            <w:rFonts w:ascii="Cambria Math" w:eastAsia="Cambria Math" w:hAnsi="Cambria Math"/>
                            <w:kern w:val="0"/>
                            <w:szCs w:val="20"/>
                          </w:rPr>
                          <m:t>2</m:t>
                        </m:r>
                      </m:sup>
                    </m:sSup>
                  </m:sup>
                </m:sSubSup>
              </m:sup>
            </m:sSubSup>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(14)</w:t>
      </w:r>
    </w:p>
    <w:p w14:paraId="6B94AC7B" w14:textId="77777777" w:rsidR="00B14FA3" w:rsidRPr="00B14FA3" w:rsidRDefault="00B14FA3" w:rsidP="00B14FA3">
      <w:pPr>
        <w:spacing w:line="360" w:lineRule="auto"/>
      </w:pPr>
      <w:r>
        <w:rPr>
          <w:szCs w:val="21"/>
        </w:rPr>
        <w:t>参数训练使用Adam优化器，并以验证集MSE选择最终模型。单尺度DLinear包含4656个可训练参数；扩展为3个尺度专家后，固定等权多尺度模型包含8208个参数；加入样本级路由网络后，本文方法共有8339个参数。由8208增加到8339的131个参数即来自路由模块，这部分相对于多尺度专家主体所占比例较小。因而，从固定等权多尺度模型到本文方法的变化主要是融合方式由常数权重变为样本相关权重，而不是通过大幅增加预测主干规模获得额外容量。</w:t>
      </w:r>
      <w:r>
        <w:rPr>
          <w:szCs w:val="21"/>
        </w:rPr>
      </w:r>
      <w:r>
        <w:rPr>
          <w:szCs w:val="21"/>
        </w:rPr>
      </w:r>
      <w:r>
        <w:rPr>
          <w:szCs w:val="21"/>
        </w:rPr>
      </w:r>
      <w:r>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p>
    <w:p>
      <w:pPr/>
      <w:r>
        <w:t>综上，本文方法先利用平均池化把同一输入窗口转换为3个时间分辨率，再由独立DLinear专家分别形成候选预测；随后，路由网络根据原始窗口的4个统计量计算样本级尺度权重，完成预测融合。多尺度序列解决“从哪些时间分辨率观察历史流量”的问题，DLinear专家负责“各尺度分别如何预测”，路由网络则处理“当前样本应如何组合这些尺度”。三个模块的功能相互区分，后续实验也据此设置单尺度基线、固定等权多尺度模型和本文方法进行比较。</w:t>
      </w:r>
    </w:p>
    <w:p w14:paraId="41A9DD19"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 w:val="24"/>
          <w:szCs w:val="32"/>
        </w:rPr>
        <w:t xml:space="preserve">2 </w:t>
      </w:r>
      <w:r w:rsidRPr="00B14FA3">
        <w:rPr>
          <w:rFonts w:ascii="Arial" w:eastAsia="黑体" w:hAnsi="Arial"/>
          <w:b/>
          <w:bCs/>
          <w:color w:val="000000"/>
          <w:sz w:val="24"/>
          <w:szCs w:val="32"/>
        </w:rPr>
        <w:t>实验与结果分析</w:t>
      </w:r>
    </w:p>
    <w:p>
      <w:pPr/>
      <w:r>
        <w:t>实验部分围绕三个问题展开。首先，通过DLinear和LightTS两个外部基线，观察本文方法在统一数据划分和预测任务下的整体误差水平；其次，将固定等权多尺度模型与本文方法进行比较，在保持尺度集合和DLinear专家一致的条件下，考察样本级尺度权重带来的变化；最后，结合多个随机种子的重复实验和路由权重分布，观察这种变化是否只出现在个别初始化条件下，以及模型在测试阶段实际如何分配三个尺度。</w:t>
      </w:r>
    </w:p>
    <w:p w14:paraId="2C93F002" w14:textId="77777777" w:rsidR="00B14FA3" w:rsidRPr="00B14FA3" w:rsidRDefault="00B14FA3" w:rsidP="00B14FA3">
      <w:pPr>
        <w:keepNext/>
        <w:keepLines/>
        <w:spacing w:before="80" w:after="20"/>
        <w:ind w:firstLine="0"/>
        <w:jc w:val="left"/>
        <w:outlineLvl w:val="1"/>
        <w:rPr>
          <w:rFonts w:eastAsia="黑体"/>
          <w:b/>
          <w:bCs/>
          <w:szCs w:val="32"/>
        </w:rPr>
      </w:pPr>
      <w:r>
        <w:rPr>
          <w:rFonts w:ascii="Arial" w:eastAsia="黑体" w:hAnsi="Arial"/>
          <w:b/>
          <w:bCs/>
          <w:color w:val="000000"/>
          <w:szCs w:val="21"/>
        </w:rPr>
        <w:t xml:space="preserve">2.1 </w:t>
      </w:r>
      <w:r>
        <w:rPr>
          <w:rFonts w:ascii="Arial" w:eastAsia="黑体" w:hAnsi="Arial"/>
          <w:b/>
          <w:bCs/>
          <w:color w:val="000000"/>
          <w:szCs w:val="21"/>
        </w:rPr>
        <w:t>数据集与实验设置</w:t>
      </w:r>
    </w:p>
    <w:p w14:paraId="426B5418" w14:textId="77777777" w:rsidR="00B14FA3" w:rsidRPr="00B14FA3" w:rsidRDefault="00B14FA3" w:rsidP="00B14FA3">
      <w:r>
        <w:rPr>
          <w:color w:val="000000"/>
          <w:szCs w:val="21"/>
        </w:rPr>
        <w:t>实验数据来自CESNET TS-Zoo[7]，选取Abilene[8]和GÉANT[9]两个1 h聚合的骨干网流量矩阵。Abilene共有4656个时间点，保留144维有效OD流量；GÉANT共有2849个时间点，去除恒定通道后保留524维有效OD流量。两个数据集在序列长度和变量规模上存在明显差异：Abilene时间点更多，而GÉANT包含更多OD变量。因而，在相同预测流程下同时使用这两个数据集，可以观察模型在不同变量规模和样本数量条件下的表现。两者均按时间顺序以6∶2∶2划分为训练集、验证集和测试集，输入长度L=96，预测长度H=24，预处理方式与第1.1节保持一致。表1列出了具体的数据规模和窗口数量。</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2A85EE9E" w14:textId="77777777" w:rsidR="00B14FA3" w:rsidRPr="00B14FA3" w:rsidRDefault="00B14FA3" w:rsidP="00B14FA3">
      <w:pPr>
        <w:keepNext/>
        <w:spacing w:before="60" w:after="40"/>
        <w:ind w:firstLine="0"/>
        <w:jc w:val="center"/>
      </w:pPr>
      <w:r>
        <w:rPr>
          <w:rFonts w:eastAsia="黑体"/>
          <w:b/>
          <w:color w:val="000000"/>
          <w:sz w:val="18"/>
        </w:rPr>
        <w:t>表</w:t>
      </w:r>
      <w:r>
        <w:rPr>
          <w:rFonts w:eastAsia="黑体"/>
          <w:b/>
          <w:color w:val="000000"/>
          <w:sz w:val="18"/>
        </w:rPr>
        <w:t xml:space="preserve">1 </w:t>
      </w:r>
      <w:r>
        <w:rPr>
          <w:rFonts w:eastAsia="黑体"/>
          <w:b/>
          <w:color w:val="000000"/>
          <w:sz w:val="18"/>
        </w:rPr>
        <w:t>数据集与预测任务设置</w:t>
      </w:r>
    </w:p>
    <w:tbl>
      <w:tblPr>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200"/>
        <w:gridCol w:w="1100"/>
        <w:gridCol w:w="1100"/>
        <w:gridCol w:w="2300"/>
        <w:gridCol w:w="2300"/>
        <w:gridCol w:w="1000"/>
      </w:tblGrid>
      <w:tr w:rsidR="00B10182" w14:paraId="4EA6D132" w14:textId="77777777">
        <w:trPr>
          <w:cantSplit/>
          <w:tblHeader/>
          <w:jc w:val="center"/>
        </w:trPr>
        <w:tc>
          <w:tcPr>
            <w:tcW w:w="1200" w:type="dxa"/>
            <w:tcBorders>
              <w:bottom w:val="single" w:sz="8" w:space="0" w:color="000000"/>
            </w:tcBorders>
            <w:tcMar>
              <w:top w:w="55" w:type="dxa"/>
              <w:left w:w="70" w:type="dxa"/>
              <w:bottom w:w="55" w:type="dxa"/>
              <w:right w:w="70" w:type="dxa"/>
            </w:tcMar>
            <w:vAlign w:val="center"/>
            <w:hideMark/>
          </w:tcPr>
          <w:p w14:paraId="6F1FEB54" w14:textId="77777777" w:rsidR="00B14FA3" w:rsidRPr="00B14FA3" w:rsidRDefault="00B14FA3" w:rsidP="00B14FA3">
            <w:pPr>
              <w:keepNext/>
              <w:ind w:firstLine="0"/>
              <w:jc w:val="center"/>
            </w:pPr>
            <w:r>
              <w:rPr>
                <w:b/>
                <w:color w:val="000000"/>
                <w:szCs w:val="21"/>
              </w:rPr>
              <w:t>数据集</w:t>
            </w:r>
          </w:p>
        </w:tc>
        <w:tc>
          <w:tcPr>
            <w:tcW w:w="1100" w:type="dxa"/>
            <w:tcBorders>
              <w:bottom w:val="single" w:sz="8" w:space="0" w:color="000000"/>
            </w:tcBorders>
            <w:tcMar>
              <w:top w:w="55" w:type="dxa"/>
              <w:left w:w="70" w:type="dxa"/>
              <w:bottom w:w="55" w:type="dxa"/>
              <w:right w:w="70" w:type="dxa"/>
            </w:tcMar>
            <w:vAlign w:val="center"/>
            <w:hideMark/>
          </w:tcPr>
          <w:p w14:paraId="3693DDBE" w14:textId="77777777" w:rsidR="00B14FA3" w:rsidRPr="00B14FA3" w:rsidRDefault="00B14FA3" w:rsidP="00B14FA3">
            <w:pPr>
              <w:keepNext/>
              <w:ind w:firstLine="0"/>
              <w:jc w:val="center"/>
            </w:pPr>
            <w:r>
              <w:rPr>
                <w:b/>
                <w:color w:val="000000"/>
                <w:szCs w:val="21"/>
              </w:rPr>
              <w:t>时间点</w:t>
            </w:r>
          </w:p>
        </w:tc>
        <w:tc>
          <w:tcPr>
            <w:tcW w:w="1100" w:type="dxa"/>
            <w:tcBorders>
              <w:bottom w:val="single" w:sz="8" w:space="0" w:color="000000"/>
            </w:tcBorders>
            <w:tcMar>
              <w:top w:w="55" w:type="dxa"/>
              <w:left w:w="70" w:type="dxa"/>
              <w:bottom w:w="55" w:type="dxa"/>
              <w:right w:w="70" w:type="dxa"/>
            </w:tcMar>
            <w:vAlign w:val="center"/>
            <w:hideMark/>
          </w:tcPr>
          <w:p w14:paraId="61AE8EF9" w14:textId="77777777" w:rsidR="00B14FA3" w:rsidRPr="00B14FA3" w:rsidRDefault="00B14FA3" w:rsidP="00B14FA3">
            <w:pPr>
              <w:keepNext/>
              <w:ind w:firstLine="0"/>
              <w:jc w:val="center"/>
            </w:pPr>
            <w:r>
              <w:rPr>
                <w:b/>
                <w:color w:val="000000"/>
                <w:szCs w:val="21"/>
              </w:rPr>
              <w:t>有效变量</w:t>
            </w:r>
            <w:r>
              <w:rPr>
                <w:b/>
                <w:color w:val="000000"/>
                <w:szCs w:val="21"/>
              </w:rPr>
              <w:t>C</w:t>
            </w:r>
          </w:p>
        </w:tc>
        <w:tc>
          <w:tcPr>
            <w:tcW w:w="2300" w:type="dxa"/>
            <w:tcBorders>
              <w:bottom w:val="single" w:sz="8" w:space="0" w:color="000000"/>
            </w:tcBorders>
            <w:tcMar>
              <w:top w:w="55" w:type="dxa"/>
              <w:left w:w="70" w:type="dxa"/>
              <w:bottom w:w="55" w:type="dxa"/>
              <w:right w:w="70" w:type="dxa"/>
            </w:tcMar>
            <w:vAlign w:val="center"/>
            <w:hideMark/>
          </w:tcPr>
          <w:p w14:paraId="00AFD535" w14:textId="77777777" w:rsidR="00B14FA3" w:rsidRPr="00B14FA3" w:rsidRDefault="00B14FA3" w:rsidP="00B14FA3">
            <w:pPr>
              <w:keepNext/>
              <w:ind w:firstLine="0"/>
              <w:jc w:val="center"/>
            </w:pPr>
            <w:r>
              <w:rPr>
                <w:b/>
                <w:color w:val="000000"/>
                <w:szCs w:val="21"/>
              </w:rPr>
              <w:t>训练</w:t>
            </w:r>
            <w:r>
              <w:rPr>
                <w:b/>
                <w:color w:val="000000"/>
                <w:szCs w:val="21"/>
              </w:rPr>
              <w:t>/</w:t>
            </w:r>
            <w:r>
              <w:rPr>
                <w:b/>
                <w:color w:val="000000"/>
                <w:szCs w:val="21"/>
              </w:rPr>
              <w:t>验证</w:t>
            </w:r>
            <w:r>
              <w:rPr>
                <w:b/>
                <w:color w:val="000000"/>
                <w:szCs w:val="21"/>
              </w:rPr>
              <w:t>/</w:t>
            </w:r>
            <w:r>
              <w:rPr>
                <w:b/>
                <w:color w:val="000000"/>
                <w:szCs w:val="21"/>
              </w:rPr>
              <w:t>测试时间点</w:t>
            </w:r>
          </w:p>
        </w:tc>
        <w:tc>
          <w:tcPr>
            <w:tcW w:w="2300" w:type="dxa"/>
            <w:tcBorders>
              <w:bottom w:val="single" w:sz="8" w:space="0" w:color="000000"/>
            </w:tcBorders>
            <w:tcMar>
              <w:top w:w="55" w:type="dxa"/>
              <w:left w:w="70" w:type="dxa"/>
              <w:bottom w:w="55" w:type="dxa"/>
              <w:right w:w="70" w:type="dxa"/>
            </w:tcMar>
            <w:vAlign w:val="center"/>
            <w:hideMark/>
          </w:tcPr>
          <w:p w14:paraId="7492F132" w14:textId="77777777" w:rsidR="00B14FA3" w:rsidRPr="00B14FA3" w:rsidRDefault="00B14FA3" w:rsidP="00B14FA3">
            <w:pPr>
              <w:keepNext/>
              <w:ind w:firstLine="0"/>
              <w:jc w:val="center"/>
            </w:pPr>
            <w:r>
              <w:rPr>
                <w:b/>
                <w:color w:val="000000"/>
                <w:szCs w:val="21"/>
              </w:rPr>
              <w:t>训练</w:t>
            </w:r>
            <w:r>
              <w:rPr>
                <w:b/>
                <w:color w:val="000000"/>
                <w:szCs w:val="21"/>
              </w:rPr>
              <w:t>/</w:t>
            </w:r>
            <w:r>
              <w:rPr>
                <w:b/>
                <w:color w:val="000000"/>
                <w:szCs w:val="21"/>
              </w:rPr>
              <w:t>验证</w:t>
            </w:r>
            <w:r>
              <w:rPr>
                <w:b/>
                <w:color w:val="000000"/>
                <w:szCs w:val="21"/>
              </w:rPr>
              <w:t>/</w:t>
            </w:r>
            <w:r>
              <w:rPr>
                <w:b/>
                <w:color w:val="000000"/>
                <w:szCs w:val="21"/>
              </w:rPr>
              <w:t>测试窗口</w:t>
            </w:r>
          </w:p>
        </w:tc>
        <w:tc>
          <w:tcPr>
            <w:tcW w:w="1000" w:type="dxa"/>
            <w:tcBorders>
              <w:bottom w:val="single" w:sz="8" w:space="0" w:color="000000"/>
            </w:tcBorders>
            <w:tcMar>
              <w:top w:w="55" w:type="dxa"/>
              <w:left w:w="70" w:type="dxa"/>
              <w:bottom w:w="55" w:type="dxa"/>
              <w:right w:w="70" w:type="dxa"/>
            </w:tcMar>
            <w:vAlign w:val="center"/>
            <w:hideMark/>
          </w:tcPr>
          <w:p w14:paraId="443C0C0B" w14:textId="77777777" w:rsidR="00B14FA3" w:rsidRPr="00B14FA3" w:rsidRDefault="00B14FA3" w:rsidP="00B14FA3">
            <w:pPr>
              <w:keepNext/>
              <w:ind w:firstLine="0"/>
              <w:jc w:val="center"/>
            </w:pPr>
            <w:r>
              <w:rPr>
                <w:b/>
                <w:color w:val="000000"/>
                <w:szCs w:val="21"/>
              </w:rPr>
              <w:t>L/H</w:t>
            </w:r>
          </w:p>
        </w:tc>
      </w:tr>
      <w:tr w:rsidR="00B10182" w14:paraId="60662C3F" w14:textId="77777777">
        <w:trPr>
          <w:cantSplit/>
          <w:jc w:val="center"/>
        </w:trPr>
        <w:tc>
          <w:tcPr>
            <w:tcW w:w="1200" w:type="dxa"/>
            <w:tcBorders>
              <w:top w:val="nil"/>
              <w:left w:val="nil"/>
              <w:bottom w:val="nil"/>
              <w:right w:val="nil"/>
            </w:tcBorders>
            <w:tcMar>
              <w:top w:w="55" w:type="dxa"/>
              <w:left w:w="70" w:type="dxa"/>
              <w:bottom w:w="55" w:type="dxa"/>
              <w:right w:w="70" w:type="dxa"/>
            </w:tcMar>
            <w:vAlign w:val="center"/>
            <w:hideMark/>
          </w:tcPr>
          <w:p w14:paraId="70B444C7" w14:textId="77777777" w:rsidR="00B14FA3" w:rsidRPr="00B14FA3" w:rsidRDefault="00B14FA3" w:rsidP="00B14FA3">
            <w:pPr>
              <w:keepNext/>
              <w:ind w:firstLine="0"/>
              <w:jc w:val="left"/>
            </w:pPr>
            <w:r>
              <w:rPr>
                <w:color w:val="000000"/>
                <w:szCs w:val="21"/>
              </w:rPr>
              <w:t>Abilene</w:t>
            </w:r>
          </w:p>
        </w:tc>
        <w:tc>
          <w:tcPr>
            <w:tcW w:w="1100" w:type="dxa"/>
            <w:tcBorders>
              <w:top w:val="nil"/>
              <w:left w:val="nil"/>
              <w:bottom w:val="nil"/>
              <w:right w:val="nil"/>
            </w:tcBorders>
            <w:tcMar>
              <w:top w:w="55" w:type="dxa"/>
              <w:left w:w="70" w:type="dxa"/>
              <w:bottom w:w="55" w:type="dxa"/>
              <w:right w:w="70" w:type="dxa"/>
            </w:tcMar>
            <w:vAlign w:val="center"/>
            <w:hideMark/>
          </w:tcPr>
          <w:p w14:paraId="4EBF696C" w14:textId="77777777" w:rsidR="00B14FA3" w:rsidRPr="00B14FA3" w:rsidRDefault="00B14FA3" w:rsidP="00B14FA3">
            <w:pPr>
              <w:keepNext/>
              <w:ind w:firstLine="0"/>
              <w:jc w:val="left"/>
            </w:pPr>
            <w:r>
              <w:rPr>
                <w:color w:val="000000"/>
                <w:szCs w:val="21"/>
              </w:rPr>
              <w:t>4656</w:t>
            </w:r>
          </w:p>
        </w:tc>
        <w:tc>
          <w:tcPr>
            <w:tcW w:w="1100" w:type="dxa"/>
            <w:tcBorders>
              <w:top w:val="nil"/>
              <w:left w:val="nil"/>
              <w:bottom w:val="nil"/>
              <w:right w:val="nil"/>
            </w:tcBorders>
            <w:tcMar>
              <w:top w:w="55" w:type="dxa"/>
              <w:left w:w="70" w:type="dxa"/>
              <w:bottom w:w="55" w:type="dxa"/>
              <w:right w:w="70" w:type="dxa"/>
            </w:tcMar>
            <w:vAlign w:val="center"/>
            <w:hideMark/>
          </w:tcPr>
          <w:p w14:paraId="203C3A10" w14:textId="77777777" w:rsidR="00B14FA3" w:rsidRPr="00B14FA3" w:rsidRDefault="00B14FA3" w:rsidP="00B14FA3">
            <w:pPr>
              <w:keepNext/>
              <w:ind w:firstLine="0"/>
              <w:jc w:val="left"/>
            </w:pPr>
            <w:r>
              <w:rPr>
                <w:color w:val="000000"/>
                <w:szCs w:val="21"/>
              </w:rPr>
              <w:t>144</w:t>
            </w:r>
          </w:p>
        </w:tc>
        <w:tc>
          <w:tcPr>
            <w:tcW w:w="2300" w:type="dxa"/>
            <w:tcBorders>
              <w:top w:val="nil"/>
              <w:left w:val="nil"/>
              <w:bottom w:val="nil"/>
              <w:right w:val="nil"/>
            </w:tcBorders>
            <w:tcMar>
              <w:top w:w="55" w:type="dxa"/>
              <w:left w:w="70" w:type="dxa"/>
              <w:bottom w:w="55" w:type="dxa"/>
              <w:right w:w="70" w:type="dxa"/>
            </w:tcMar>
            <w:vAlign w:val="center"/>
            <w:hideMark/>
          </w:tcPr>
          <w:p w14:paraId="418C4BE2" w14:textId="77777777" w:rsidR="00B14FA3" w:rsidRPr="00B14FA3" w:rsidRDefault="00B14FA3" w:rsidP="00B14FA3">
            <w:pPr>
              <w:keepNext/>
              <w:ind w:firstLine="0"/>
              <w:jc w:val="left"/>
            </w:pPr>
            <w:r>
              <w:rPr>
                <w:color w:val="000000"/>
                <w:szCs w:val="21"/>
              </w:rPr>
              <w:t>2793/931/932</w:t>
            </w:r>
          </w:p>
        </w:tc>
        <w:tc>
          <w:tcPr>
            <w:tcW w:w="2300" w:type="dxa"/>
            <w:tcBorders>
              <w:top w:val="nil"/>
              <w:left w:val="nil"/>
              <w:bottom w:val="nil"/>
              <w:right w:val="nil"/>
            </w:tcBorders>
            <w:tcMar>
              <w:top w:w="55" w:type="dxa"/>
              <w:left w:w="70" w:type="dxa"/>
              <w:bottom w:w="55" w:type="dxa"/>
              <w:right w:w="70" w:type="dxa"/>
            </w:tcMar>
            <w:vAlign w:val="center"/>
            <w:hideMark/>
          </w:tcPr>
          <w:p w14:paraId="3E47EF4C" w14:textId="77777777" w:rsidR="00B14FA3" w:rsidRPr="00B14FA3" w:rsidRDefault="00B14FA3" w:rsidP="00B14FA3">
            <w:pPr>
              <w:keepNext/>
              <w:ind w:firstLine="0"/>
              <w:jc w:val="left"/>
            </w:pPr>
            <w:r>
              <w:rPr>
                <w:color w:val="000000"/>
                <w:szCs w:val="21"/>
              </w:rPr>
              <w:t>2674/812/813</w:t>
            </w:r>
          </w:p>
        </w:tc>
        <w:tc>
          <w:tcPr>
            <w:tcW w:w="1000" w:type="dxa"/>
            <w:tcBorders>
              <w:top w:val="nil"/>
              <w:left w:val="nil"/>
              <w:bottom w:val="nil"/>
              <w:right w:val="nil"/>
            </w:tcBorders>
            <w:tcMar>
              <w:top w:w="55" w:type="dxa"/>
              <w:left w:w="70" w:type="dxa"/>
              <w:bottom w:w="55" w:type="dxa"/>
              <w:right w:w="70" w:type="dxa"/>
            </w:tcMar>
            <w:vAlign w:val="center"/>
            <w:hideMark/>
          </w:tcPr>
          <w:p w14:paraId="68B41A69" w14:textId="77777777" w:rsidR="00B14FA3" w:rsidRPr="00B14FA3" w:rsidRDefault="00B14FA3" w:rsidP="00B14FA3">
            <w:pPr>
              <w:keepNext/>
              <w:ind w:firstLine="0"/>
              <w:jc w:val="left"/>
            </w:pPr>
            <w:r>
              <w:rPr>
                <w:color w:val="000000"/>
                <w:szCs w:val="21"/>
              </w:rPr>
              <w:t>96/24</w:t>
            </w:r>
          </w:p>
        </w:tc>
      </w:tr>
      <w:tr w:rsidR="00B10182" w14:paraId="026887DD" w14:textId="77777777">
        <w:trPr>
          <w:cantSplit/>
          <w:jc w:val="center"/>
        </w:trPr>
        <w:tc>
          <w:tcPr>
            <w:tcW w:w="1200" w:type="dxa"/>
            <w:tcBorders>
              <w:top w:val="nil"/>
              <w:left w:val="nil"/>
              <w:bottom w:val="nil"/>
              <w:right w:val="nil"/>
            </w:tcBorders>
            <w:tcMar>
              <w:top w:w="55" w:type="dxa"/>
              <w:left w:w="70" w:type="dxa"/>
              <w:bottom w:w="55" w:type="dxa"/>
              <w:right w:w="70" w:type="dxa"/>
            </w:tcMar>
            <w:vAlign w:val="center"/>
            <w:hideMark/>
          </w:tcPr>
          <w:p w14:paraId="4ABC61A0" w14:textId="77777777" w:rsidR="00B14FA3" w:rsidRPr="00B14FA3" w:rsidRDefault="00B14FA3" w:rsidP="00B14FA3">
            <w:pPr>
              <w:keepNext/>
              <w:ind w:firstLine="0"/>
              <w:jc w:val="left"/>
            </w:pPr>
            <w:r>
              <w:rPr>
                <w:color w:val="000000"/>
                <w:szCs w:val="21"/>
              </w:rPr>
              <w:t>GÉANT</w:t>
            </w:r>
          </w:p>
        </w:tc>
        <w:tc>
          <w:tcPr>
            <w:tcW w:w="1100" w:type="dxa"/>
            <w:tcBorders>
              <w:top w:val="nil"/>
              <w:left w:val="nil"/>
              <w:bottom w:val="nil"/>
              <w:right w:val="nil"/>
            </w:tcBorders>
            <w:tcMar>
              <w:top w:w="55" w:type="dxa"/>
              <w:left w:w="70" w:type="dxa"/>
              <w:bottom w:w="55" w:type="dxa"/>
              <w:right w:w="70" w:type="dxa"/>
            </w:tcMar>
            <w:vAlign w:val="center"/>
            <w:hideMark/>
          </w:tcPr>
          <w:p w14:paraId="37FA10D1" w14:textId="77777777" w:rsidR="00B14FA3" w:rsidRPr="00B14FA3" w:rsidRDefault="00B14FA3" w:rsidP="00B14FA3">
            <w:pPr>
              <w:keepNext/>
              <w:ind w:firstLine="0"/>
              <w:jc w:val="left"/>
            </w:pPr>
            <w:r>
              <w:rPr>
                <w:color w:val="000000"/>
                <w:szCs w:val="21"/>
              </w:rPr>
              <w:t>2849</w:t>
            </w:r>
          </w:p>
        </w:tc>
        <w:tc>
          <w:tcPr>
            <w:tcW w:w="1100" w:type="dxa"/>
            <w:tcBorders>
              <w:top w:val="nil"/>
              <w:left w:val="nil"/>
              <w:bottom w:val="nil"/>
              <w:right w:val="nil"/>
            </w:tcBorders>
            <w:tcMar>
              <w:top w:w="55" w:type="dxa"/>
              <w:left w:w="70" w:type="dxa"/>
              <w:bottom w:w="55" w:type="dxa"/>
              <w:right w:w="70" w:type="dxa"/>
            </w:tcMar>
            <w:vAlign w:val="center"/>
            <w:hideMark/>
          </w:tcPr>
          <w:p w14:paraId="0F63E5AA" w14:textId="77777777" w:rsidR="00B14FA3" w:rsidRPr="00B14FA3" w:rsidRDefault="00B14FA3" w:rsidP="00B14FA3">
            <w:pPr>
              <w:keepNext/>
              <w:ind w:firstLine="0"/>
              <w:jc w:val="left"/>
            </w:pPr>
            <w:r>
              <w:rPr>
                <w:color w:val="000000"/>
                <w:szCs w:val="21"/>
              </w:rPr>
              <w:t>524</w:t>
            </w:r>
          </w:p>
        </w:tc>
        <w:tc>
          <w:tcPr>
            <w:tcW w:w="2300" w:type="dxa"/>
            <w:tcBorders>
              <w:top w:val="nil"/>
              <w:left w:val="nil"/>
              <w:bottom w:val="nil"/>
              <w:right w:val="nil"/>
            </w:tcBorders>
            <w:tcMar>
              <w:top w:w="55" w:type="dxa"/>
              <w:left w:w="70" w:type="dxa"/>
              <w:bottom w:w="55" w:type="dxa"/>
              <w:right w:w="70" w:type="dxa"/>
            </w:tcMar>
            <w:vAlign w:val="center"/>
            <w:hideMark/>
          </w:tcPr>
          <w:p w14:paraId="066E6608" w14:textId="77777777" w:rsidR="00B14FA3" w:rsidRPr="00B14FA3" w:rsidRDefault="00B14FA3" w:rsidP="00B14FA3">
            <w:pPr>
              <w:keepNext/>
              <w:ind w:firstLine="0"/>
              <w:jc w:val="left"/>
            </w:pPr>
            <w:r>
              <w:rPr>
                <w:color w:val="000000"/>
                <w:szCs w:val="21"/>
              </w:rPr>
              <w:t>1709/570/570</w:t>
            </w:r>
          </w:p>
        </w:tc>
        <w:tc>
          <w:tcPr>
            <w:tcW w:w="2300" w:type="dxa"/>
            <w:tcBorders>
              <w:top w:val="nil"/>
              <w:left w:val="nil"/>
              <w:bottom w:val="nil"/>
              <w:right w:val="nil"/>
            </w:tcBorders>
            <w:tcMar>
              <w:top w:w="55" w:type="dxa"/>
              <w:left w:w="70" w:type="dxa"/>
              <w:bottom w:w="55" w:type="dxa"/>
              <w:right w:w="70" w:type="dxa"/>
            </w:tcMar>
            <w:vAlign w:val="center"/>
            <w:hideMark/>
          </w:tcPr>
          <w:p w14:paraId="544CE805" w14:textId="77777777" w:rsidR="00B14FA3" w:rsidRPr="00B14FA3" w:rsidRDefault="00B14FA3" w:rsidP="00B14FA3">
            <w:pPr>
              <w:keepNext/>
              <w:ind w:firstLine="0"/>
              <w:jc w:val="left"/>
            </w:pPr>
            <w:r>
              <w:rPr>
                <w:color w:val="000000"/>
                <w:szCs w:val="21"/>
              </w:rPr>
              <w:t>1590/451/451</w:t>
            </w:r>
          </w:p>
        </w:tc>
        <w:tc>
          <w:tcPr>
            <w:tcW w:w="1000" w:type="dxa"/>
            <w:tcBorders>
              <w:top w:val="nil"/>
              <w:left w:val="nil"/>
              <w:bottom w:val="nil"/>
              <w:right w:val="nil"/>
            </w:tcBorders>
            <w:tcMar>
              <w:top w:w="55" w:type="dxa"/>
              <w:left w:w="70" w:type="dxa"/>
              <w:bottom w:w="55" w:type="dxa"/>
              <w:right w:w="70" w:type="dxa"/>
            </w:tcMar>
            <w:vAlign w:val="center"/>
            <w:hideMark/>
          </w:tcPr>
          <w:p w14:paraId="256DDA9D" w14:textId="77777777" w:rsidR="00B14FA3" w:rsidRPr="00B14FA3" w:rsidRDefault="00B14FA3" w:rsidP="00B14FA3">
            <w:pPr>
              <w:keepNext/>
              <w:ind w:firstLine="0"/>
              <w:jc w:val="left"/>
            </w:pPr>
            <w:r>
              <w:rPr>
                <w:color w:val="000000"/>
                <w:szCs w:val="21"/>
              </w:rPr>
              <w:t>96/24</w:t>
            </w:r>
          </w:p>
        </w:tc>
      </w:tr>
    </w:tbl>
    <w:p w14:paraId="7F30E00E" w14:textId="77777777" w:rsidR="00B14FA3" w:rsidRPr="00B14FA3" w:rsidRDefault="00B14FA3" w:rsidP="00B14FA3">
      <w:r>
        <w:rPr>
          <w:color w:val="000000"/>
          <w:szCs w:val="21"/>
        </w:rPr>
        <w:t>所有对比模型采用相同的数据划分、输入长度、预测长度和评价指标，批量大小统一设为16。这样设置的目的不是比较不同模型各自的最佳超参数，而是在统一预测任务下控制数据条件的一致性。DLinear、固定等权多尺度模型和本文方法最多训练30轮，LightTS最多训练50轮，训练过程中均根据验证集MSE选择用于测试的模型参数，而不是直接使用最后一轮结果。验证集在这里承担模型选择作用，测试集只用于最终性能统计。</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pPr/>
      <w:r>
        <w:t>随机种子的设置分为两组。外部基线比较使用42—44共3个共同随机种子，使DLinear、LightTS和本文方法能够在相同初始化编号下进行重复比较；核心消融进一步扩展到42—49共8个随机种子，只比较DLinear、固定等权多尺度模型和本文方法。前一组用于给出与外部基线的统一比较，后一组则增加重复次数，以便更充分地观察多尺度结构和样本级加权在不同初始化下的结果变化。</w:t>
      </w:r>
    </w:p>
    <w:p w14:paraId="111070D4" w14:textId="77777777" w:rsidR="00B14FA3" w:rsidRPr="00B14FA3" w:rsidRDefault="00B14FA3" w:rsidP="00B14FA3">
      <w:pPr>
        <w:keepNext/>
        <w:keepLines/>
        <w:spacing w:before="80" w:after="20"/>
        <w:ind w:firstLine="0"/>
        <w:jc w:val="left"/>
        <w:outlineLvl w:val="1"/>
        <w:rPr>
          <w:rFonts w:eastAsia="黑体"/>
          <w:b/>
          <w:bCs/>
          <w:szCs w:val="32"/>
        </w:rPr>
      </w:pPr>
      <w:r>
        <w:rPr>
          <w:rFonts w:ascii="Arial" w:eastAsia="黑体" w:hAnsi="Arial"/>
          <w:b/>
          <w:bCs/>
          <w:color w:val="000000"/>
          <w:szCs w:val="21"/>
        </w:rPr>
        <w:t xml:space="preserve">2.2 </w:t>
      </w:r>
      <w:r>
        <w:rPr>
          <w:rFonts w:ascii="Arial" w:eastAsia="黑体" w:hAnsi="Arial"/>
          <w:b/>
          <w:bCs/>
          <w:color w:val="000000"/>
          <w:szCs w:val="21"/>
        </w:rPr>
        <w:t>对比模型与评价指标</w:t>
      </w:r>
    </w:p>
    <w:p w14:paraId="3EC5233F" w14:textId="77777777" w:rsidR="00B14FA3" w:rsidRPr="00B14FA3" w:rsidRDefault="00B14FA3" w:rsidP="00B14FA3">
      <w:r>
        <w:rPr>
          <w:color w:val="000000"/>
          <w:szCs w:val="21"/>
        </w:rPr>
        <w:t>实验中的对比对象包括3类：单尺度DLinear、LightTS和固定等权多尺度模型。三类模型承担的比较作用并不相同。DLinear与本文各尺度专家采用相同的基础预测结构，可作为单尺度基线，用于观察从单一时间分辨率扩展到多尺度后的变化；LightTS是独立的轻量多变量时间序列预测模型，用于提供外部结构基线；固定等权多尺度模型与本文方法使用完全相同的尺度集合{1,2,4}和DLinear专家，但取消样本级路由，3个尺度始终以1/3权重融合。因此，从DLinear到固定等权模型主要增加多尺度信息，而从固定等权模型到本文方法只改变尺度融合方式。</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2BE60480" w14:textId="77777777" w:rsidR="00B14FA3" w:rsidRPr="00B14FA3" w:rsidRDefault="00B14FA3" w:rsidP="00B14FA3">
      <w:r>
        <w:rPr>
          <w:color w:val="000000"/>
          <w:szCs w:val="21"/>
        </w:rPr>
        <w:t>预测性能采用均方误差（MSE）、平均绝对误差（MAE）和均方根误差（RMSE）评价。MSE按式（14）计算，MAE和RMSE分别定义为</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32476975"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m:rPr>
            <m:sty m:val="p"/>
          </m:rPr>
          <w:rPr>
            <w:rFonts w:ascii="Cambria Math" w:eastAsia="Cambria Math" w:hAnsi="Cambria Math"/>
            <w:kern w:val="0"/>
            <w:szCs w:val="20"/>
          </w:rPr>
          <m:t>MAE=</m:t>
        </m:r>
        <m:d>
          <m:dPr>
            <m:ctrlPr>
              <w:rPr>
                <w:rFonts w:ascii="Cambria Math" w:eastAsia="Cambria Math" w:hAnsi="Cambria Math"/>
                <w:i/>
                <w:kern w:val="0"/>
                <w:szCs w:val="20"/>
              </w:rPr>
            </m:ctrlPr>
          </m:dPr>
          <m:e>
            <m:f>
              <m:fPr>
                <m:ctrlPr>
                  <w:rPr>
                    <w:rFonts w:ascii="Cambria Math" w:eastAsia="Cambria Math" w:hAnsi="Cambria Math"/>
                    <w:i/>
                    <w:kern w:val="0"/>
                    <w:szCs w:val="20"/>
                  </w:rPr>
                </m:ctrlPr>
              </m:fPr>
              <m:num>
                <m:r>
                  <w:rPr>
                    <w:rFonts w:ascii="Cambria Math" w:eastAsia="Cambria Math" w:hAnsi="Cambria Math"/>
                    <w:kern w:val="0"/>
                    <w:szCs w:val="20"/>
                  </w:rPr>
                  <m:t>1</m:t>
                </m:r>
              </m:num>
              <m:den>
                <m:sSub>
                  <m:sSubPr>
                    <m:ctrlPr>
                      <w:rPr>
                        <w:rFonts w:ascii="Cambria Math" w:eastAsia="Cambria Math" w:hAnsi="Cambria Math"/>
                        <w:i/>
                        <w:kern w:val="0"/>
                        <w:szCs w:val="20"/>
                      </w:rPr>
                    </m:ctrlPr>
                  </m:sSubPr>
                  <m:e>
                    <m:r>
                      <w:rPr>
                        <w:rFonts w:ascii="Cambria Math" w:eastAsia="Cambria Math" w:hAnsi="Cambria Math"/>
                        <w:kern w:val="0"/>
                        <w:szCs w:val="20"/>
                      </w:rPr>
                      <m:t>N</m:t>
                    </m:r>
                  </m:e>
                  <m:sub>
                    <m:d>
                      <m:dPr>
                        <m:begChr m:val="{"/>
                        <m:endChr m:val="}"/>
                        <m:ctrlPr>
                          <w:rPr>
                            <w:rFonts w:ascii="Cambria Math" w:eastAsia="Cambria Math" w:hAnsi="Cambria Math"/>
                            <w:i/>
                            <w:kern w:val="0"/>
                            <w:szCs w:val="20"/>
                          </w:rPr>
                        </m:ctrlPr>
                      </m:dPr>
                      <m:e>
                        <m:r>
                          <m:rPr>
                            <m:sty m:val="p"/>
                          </m:rPr>
                          <w:rPr>
                            <w:rFonts w:ascii="Cambria Math" w:eastAsia="Cambria Math" w:hAnsi="Cambria Math"/>
                            <w:kern w:val="0"/>
                            <w:szCs w:val="20"/>
                          </w:rPr>
                          <m:t>te</m:t>
                        </m:r>
                      </m:e>
                    </m:d>
                    <m:r>
                      <w:rPr>
                        <w:rFonts w:ascii="Cambria Math" w:eastAsia="Cambria Math" w:hAnsi="Cambria Math"/>
                        <w:kern w:val="0"/>
                        <w:szCs w:val="20"/>
                      </w:rPr>
                      <m:t>HC</m:t>
                    </m:r>
                  </m:sub>
                </m:sSub>
              </m:den>
            </m:f>
          </m:e>
        </m:d>
        <m:sSub>
          <m:sSubPr>
            <m:ctrlPr>
              <w:rPr>
                <w:rFonts w:ascii="Cambria Math" w:eastAsia="Cambria Math" w:hAnsi="Cambria Math"/>
                <w:i/>
                <w:kern w:val="0"/>
                <w:szCs w:val="20"/>
              </w:rPr>
            </m:ctrlPr>
          </m:sSubPr>
          <m:e>
            <m:r>
              <w:rPr>
                <w:rFonts w:ascii="Cambria Math" w:eastAsia="Cambria Math" w:hAnsi="Cambria Math"/>
                <w:kern w:val="0"/>
                <w:szCs w:val="20"/>
              </w:rPr>
              <m:t>Σ</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d>
              <m:dPr>
                <m:begChr m:val="|"/>
                <m:endChr m:val="|"/>
                <m:ctrlPr>
                  <w:rPr>
                    <w:rFonts w:ascii="Cambria Math" w:eastAsia="Cambria Math" w:hAnsi="Cambria Math"/>
                    <w:i/>
                    <w:kern w:val="0"/>
                    <w:szCs w:val="20"/>
                  </w:rPr>
                </m:ctrlPr>
              </m:dPr>
              <m:e>
                <m:sSub>
                  <m:sSubPr>
                    <m:ctrlPr>
                      <w:rPr>
                        <w:rFonts w:ascii="Cambria Math" w:eastAsia="Cambria Math" w:hAnsi="Cambria Math"/>
                        <w:i/>
                        <w:kern w:val="0"/>
                        <w:szCs w:val="20"/>
                      </w:rPr>
                    </m:ctrlPr>
                  </m:sSubPr>
                  <m:e>
                    <m:r>
                      <m:rPr>
                        <m:sty m:val="bi"/>
                      </m:rPr>
                      <w:rPr>
                        <w:rFonts w:ascii="Cambria Math" w:eastAsia="Cambria Math" w:hAnsi="Cambria Math"/>
                        <w:kern w:val="0"/>
                        <w:szCs w:val="20"/>
                      </w:rPr>
                      <m:t>Y</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kern w:val="0"/>
                        <w:szCs w:val="20"/>
                      </w:rPr>
                    </m:ctrlPr>
                  </m:sSubPr>
                  <m:e>
                    <m:r>
                      <m:rPr>
                        <m:sty m:val="bi"/>
                      </m:rPr>
                      <w:rPr>
                        <w:rFonts w:ascii="Cambria Math" w:eastAsia="Cambria Math" w:hAnsi="Cambria Math"/>
                        <w:kern w:val="0"/>
                        <w:szCs w:val="20"/>
                      </w:rPr>
                      <m:t>Ŷ</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e>
            </m:d>
          </m:sub>
        </m:sSub>
        <m:r>
          <w:rPr>
            <w:rFonts w:ascii="Cambria Math" w:eastAsia="Cambria Math" w:hAnsi="Cambria Math"/>
            <w:kern w:val="0"/>
            <w:szCs w:val="20"/>
          </w:rPr>
          <m:t>,</m:t>
        </m:r>
      </m:oMath>
      <w:r w:rsidRPr="00B14FA3">
        <w:rPr>
          <w:color w:val="000000"/>
          <w:kern w:val="0"/>
          <w:szCs w:val="20"/>
        </w:rPr>
        <w:tab/>
        <w:t>(15)</w:t>
      </w:r>
    </w:p>
    <w:p w14:paraId="78A587DD"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m:rPr>
            <m:sty m:val="p"/>
          </m:rPr>
          <w:rPr>
            <w:rFonts w:ascii="Cambria Math" w:eastAsia="Cambria Math" w:hAnsi="Cambria Math"/>
            <w:kern w:val="0"/>
            <w:szCs w:val="20"/>
          </w:rPr>
          <m:t>RMSE=</m:t>
        </m:r>
        <m:rad>
          <m:radPr>
            <m:degHide m:val="1"/>
            <m:ctrlPr>
              <w:rPr>
                <w:rFonts w:ascii="Cambria Math" w:eastAsia="Cambria Math" w:hAnsi="Cambria Math"/>
                <w:i/>
                <w:kern w:val="0"/>
                <w:szCs w:val="20"/>
              </w:rPr>
            </m:ctrlPr>
          </m:radPr>
          <m:deg/>
          <m:e>
            <m:r>
              <m:rPr>
                <m:sty m:val="p"/>
              </m:rPr>
              <w:rPr>
                <w:rFonts w:ascii="Cambria Math" w:eastAsia="Cambria Math" w:hAnsi="Cambria Math"/>
                <w:kern w:val="0"/>
                <w:szCs w:val="20"/>
              </w:rPr>
              <m:t>MSE</m:t>
            </m:r>
          </m:e>
        </m:rad>
        <m:r>
          <w:rPr>
            <w:rFonts w:ascii="Cambria Math" w:eastAsia="Cambria Math" w:hAnsi="Cambria Math"/>
            <w:kern w:val="0"/>
            <w:szCs w:val="20"/>
          </w:rPr>
          <m:t>.</m:t>
        </m:r>
      </m:oMath>
      <w:r w:rsidRPr="00B14FA3">
        <w:rPr>
          <w:color w:val="000000"/>
          <w:kern w:val="0"/>
          <w:szCs w:val="20"/>
        </w:rPr>
        <w:tab/>
        <w:t>(16)</w:t>
      </w:r>
    </w:p>
    <w:p w14:paraId="015A2BBD" w14:textId="77777777" w:rsidR="00B14FA3" w:rsidRPr="00B14FA3" w:rsidRDefault="00B14FA3" w:rsidP="00B14FA3">
      <w:r>
        <w:rPr>
          <w:color w:val="000000"/>
          <w:szCs w:val="21"/>
        </w:rPr>
        <w:t>MSE、MAE和RMSE均在标准化空间中计算，数值越小表示预测结果与真实值之间的偏差越小。三项指标的侧重点有所不同：MSE对较大的预测误差更敏感，MAE直接统计绝对误差的平均水平，RMSE则在均方误差基础上开方，便于从另一种尺度观察整体偏差。正文以MSE和MAE作为主要比较指标，RMSE用于补充评价。表2统计随机种子42—44的均值±标准差，表3统计随机种子42—49的均值±标准差，从而同时保留平均水平和不同重复实验之间的波动信息。</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7B4CAE46" w14:textId="77777777" w:rsidR="00B14FA3" w:rsidRPr="00B14FA3" w:rsidRDefault="00B14FA3" w:rsidP="00B14FA3">
      <w:pPr>
        <w:keepNext/>
        <w:keepLines/>
        <w:spacing w:before="80" w:after="20"/>
        <w:ind w:firstLine="0"/>
        <w:jc w:val="left"/>
        <w:outlineLvl w:val="1"/>
        <w:rPr>
          <w:rFonts w:eastAsia="黑体"/>
          <w:b/>
          <w:bCs/>
          <w:szCs w:val="32"/>
        </w:rPr>
      </w:pPr>
      <w:r>
        <w:rPr>
          <w:rFonts w:ascii="Arial" w:eastAsia="黑体" w:hAnsi="Arial"/>
          <w:b/>
          <w:bCs/>
          <w:color w:val="000000"/>
          <w:szCs w:val="21"/>
        </w:rPr>
        <w:t xml:space="preserve">2.3 </w:t>
      </w:r>
      <w:r>
        <w:rPr>
          <w:rFonts w:ascii="Arial" w:eastAsia="黑体" w:hAnsi="Arial"/>
          <w:b/>
          <w:bCs/>
          <w:color w:val="000000"/>
          <w:szCs w:val="21"/>
        </w:rPr>
        <w:t>两数据集外部基线比较</w:t>
      </w:r>
    </w:p>
    <w:p w14:paraId="47C6B19C" w14:textId="77777777" w:rsidR="00B14FA3" w:rsidRPr="00B14FA3" w:rsidRDefault="00B14FA3" w:rsidP="00B14FA3">
      <w:r>
        <w:rPr>
          <w:color w:val="000000"/>
          <w:szCs w:val="21"/>
        </w:rPr>
        <w:t>表2给出了3个共同随机种子下的外部基线结果。本文方法在Abilene上的MSE为0.186，在GÉANT上为0.434。相对于DLinear，两项MSE分别降低4.06%和4.43%；相对于LightTS，分别降低29.89%和46.83%。MAE的变化方向与MSE一致。由比较幅度可以看到，本文方法相对DLinear的改进较为接近，而相对LightTS的差距更大，这说明在当前两个数据集和既定参数设置下，DLinear本身已经是更接近本文方法的强基线。本文的改进是在这一基础上进一步引入多尺度输入和样本级融合获得的。</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2C988E8E" w14:textId="77777777" w:rsidR="00B14FA3" w:rsidRPr="00B14FA3" w:rsidRDefault="00B14FA3" w:rsidP="00B14FA3">
      <w:pPr>
        <w:keepNext/>
        <w:spacing w:before="60" w:after="40"/>
        <w:ind w:firstLine="0"/>
        <w:jc w:val="center"/>
      </w:pPr>
      <w:r>
        <w:rPr>
          <w:rFonts w:eastAsia="黑体"/>
          <w:b/>
          <w:color w:val="000000"/>
          <w:sz w:val="18"/>
        </w:rPr>
        <w:t>表</w:t>
      </w:r>
      <w:r>
        <w:rPr>
          <w:rFonts w:eastAsia="黑体"/>
          <w:b/>
          <w:color w:val="000000"/>
          <w:sz w:val="18"/>
        </w:rPr>
        <w:t xml:space="preserve">2 </w:t>
      </w:r>
      <w:r>
        <w:rPr>
          <w:rFonts w:eastAsia="黑体"/>
          <w:b/>
          <w:color w:val="000000"/>
          <w:sz w:val="18"/>
        </w:rPr>
        <w:t>三随机种子外部基线比较</w:t>
      </w:r>
    </w:p>
    <w:tbl>
      <w:tblPr>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300"/>
        <w:gridCol w:w="2500"/>
        <w:gridCol w:w="1200"/>
        <w:gridCol w:w="2000"/>
        <w:gridCol w:w="2000"/>
      </w:tblGrid>
      <w:tr w:rsidR="00B10182" w14:paraId="74CC92C2" w14:textId="77777777">
        <w:trPr>
          <w:cantSplit/>
          <w:tblHeader/>
          <w:jc w:val="center"/>
        </w:trPr>
        <w:tc>
          <w:tcPr>
            <w:tcW w:w="1300" w:type="dxa"/>
            <w:tcBorders>
              <w:bottom w:val="single" w:sz="8" w:space="0" w:color="000000"/>
            </w:tcBorders>
            <w:tcMar>
              <w:top w:w="55" w:type="dxa"/>
              <w:left w:w="70" w:type="dxa"/>
              <w:bottom w:w="55" w:type="dxa"/>
              <w:right w:w="70" w:type="dxa"/>
            </w:tcMar>
            <w:vAlign w:val="center"/>
            <w:hideMark/>
          </w:tcPr>
          <w:p w14:paraId="73A1B21A" w14:textId="77777777" w:rsidR="00B14FA3" w:rsidRPr="00B14FA3" w:rsidRDefault="00B14FA3" w:rsidP="00B14FA3">
            <w:pPr>
              <w:keepNext/>
              <w:ind w:firstLine="0"/>
              <w:jc w:val="center"/>
            </w:pPr>
            <w:r>
              <w:rPr>
                <w:b/>
                <w:color w:val="000000"/>
                <w:szCs w:val="21"/>
              </w:rPr>
              <w:t>数据集</w:t>
            </w:r>
          </w:p>
        </w:tc>
        <w:tc>
          <w:tcPr>
            <w:tcW w:w="2500" w:type="dxa"/>
            <w:tcBorders>
              <w:bottom w:val="single" w:sz="8" w:space="0" w:color="000000"/>
            </w:tcBorders>
            <w:tcMar>
              <w:top w:w="55" w:type="dxa"/>
              <w:left w:w="70" w:type="dxa"/>
              <w:bottom w:w="55" w:type="dxa"/>
              <w:right w:w="70" w:type="dxa"/>
            </w:tcMar>
            <w:vAlign w:val="center"/>
            <w:hideMark/>
          </w:tcPr>
          <w:p w14:paraId="1D3A8B74" w14:textId="77777777" w:rsidR="00B14FA3" w:rsidRPr="00B14FA3" w:rsidRDefault="00B14FA3" w:rsidP="00B14FA3">
            <w:pPr>
              <w:keepNext/>
              <w:ind w:firstLine="0"/>
              <w:jc w:val="center"/>
            </w:pPr>
            <w:r>
              <w:rPr>
                <w:b/>
                <w:color w:val="000000"/>
                <w:szCs w:val="21"/>
              </w:rPr>
              <w:t>模型</w:t>
            </w:r>
          </w:p>
        </w:tc>
        <w:tc>
          <w:tcPr>
            <w:tcW w:w="1200" w:type="dxa"/>
            <w:tcBorders>
              <w:bottom w:val="single" w:sz="8" w:space="0" w:color="000000"/>
            </w:tcBorders>
            <w:tcMar>
              <w:top w:w="55" w:type="dxa"/>
              <w:left w:w="70" w:type="dxa"/>
              <w:bottom w:w="55" w:type="dxa"/>
              <w:right w:w="70" w:type="dxa"/>
            </w:tcMar>
            <w:vAlign w:val="center"/>
            <w:hideMark/>
          </w:tcPr>
          <w:p w14:paraId="6A04AC4B" w14:textId="77777777" w:rsidR="00B14FA3" w:rsidRPr="00B14FA3" w:rsidRDefault="00B14FA3" w:rsidP="00B14FA3">
            <w:pPr>
              <w:keepNext/>
              <w:ind w:firstLine="0"/>
              <w:jc w:val="center"/>
            </w:pPr>
            <w:r>
              <w:rPr>
                <w:b/>
                <w:color w:val="000000"/>
                <w:szCs w:val="21"/>
              </w:rPr>
              <w:t>参数量</w:t>
            </w:r>
          </w:p>
        </w:tc>
        <w:tc>
          <w:tcPr>
            <w:tcW w:w="2000" w:type="dxa"/>
            <w:tcBorders>
              <w:bottom w:val="single" w:sz="8" w:space="0" w:color="000000"/>
            </w:tcBorders>
            <w:tcMar>
              <w:top w:w="55" w:type="dxa"/>
              <w:left w:w="70" w:type="dxa"/>
              <w:bottom w:w="55" w:type="dxa"/>
              <w:right w:w="70" w:type="dxa"/>
            </w:tcMar>
            <w:vAlign w:val="center"/>
            <w:hideMark/>
          </w:tcPr>
          <w:p w14:paraId="50529A34" w14:textId="77777777" w:rsidR="00B14FA3" w:rsidRPr="00B14FA3" w:rsidRDefault="00B14FA3" w:rsidP="00B14FA3">
            <w:pPr>
              <w:keepNext/>
              <w:ind w:firstLine="0"/>
              <w:jc w:val="center"/>
            </w:pPr>
            <w:r>
              <w:rPr>
                <w:b/>
                <w:color w:val="000000"/>
                <w:szCs w:val="21"/>
              </w:rPr>
              <w:t>MSE</w:t>
            </w:r>
          </w:p>
        </w:tc>
        <w:tc>
          <w:tcPr>
            <w:tcW w:w="2000" w:type="dxa"/>
            <w:tcBorders>
              <w:bottom w:val="single" w:sz="8" w:space="0" w:color="000000"/>
            </w:tcBorders>
            <w:tcMar>
              <w:top w:w="55" w:type="dxa"/>
              <w:left w:w="70" w:type="dxa"/>
              <w:bottom w:w="55" w:type="dxa"/>
              <w:right w:w="70" w:type="dxa"/>
            </w:tcMar>
            <w:vAlign w:val="center"/>
            <w:hideMark/>
          </w:tcPr>
          <w:p w14:paraId="0BF29862" w14:textId="77777777" w:rsidR="00B14FA3" w:rsidRPr="00B14FA3" w:rsidRDefault="00B14FA3" w:rsidP="00B14FA3">
            <w:pPr>
              <w:keepNext/>
              <w:ind w:firstLine="0"/>
              <w:jc w:val="center"/>
            </w:pPr>
            <w:r>
              <w:rPr>
                <w:b/>
                <w:color w:val="000000"/>
                <w:szCs w:val="21"/>
              </w:rPr>
              <w:t>MAE</w:t>
            </w:r>
          </w:p>
        </w:tc>
      </w:tr>
      <w:tr w:rsidR="00B10182" w14:paraId="7BD3F36B"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67270E4A"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605C29C9" w14:textId="77777777" w:rsidR="00B14FA3" w:rsidRPr="00B14FA3" w:rsidRDefault="00B14FA3" w:rsidP="00B14FA3">
            <w:pPr>
              <w:keepNext/>
              <w:ind w:firstLine="0"/>
              <w:jc w:val="left"/>
            </w:pPr>
            <w:r>
              <w:rPr>
                <w:color w:val="000000"/>
                <w:szCs w:val="21"/>
              </w:rPr>
              <w:t>DLinear</w:t>
            </w:r>
          </w:p>
        </w:tc>
        <w:tc>
          <w:tcPr>
            <w:tcW w:w="1200" w:type="dxa"/>
            <w:tcBorders>
              <w:top w:val="nil"/>
              <w:left w:val="nil"/>
              <w:bottom w:val="nil"/>
              <w:right w:val="nil"/>
            </w:tcBorders>
            <w:tcMar>
              <w:top w:w="55" w:type="dxa"/>
              <w:left w:w="70" w:type="dxa"/>
              <w:bottom w:w="55" w:type="dxa"/>
              <w:right w:w="70" w:type="dxa"/>
            </w:tcMar>
            <w:vAlign w:val="center"/>
            <w:hideMark/>
          </w:tcPr>
          <w:p w14:paraId="4ABBFC5B" w14:textId="77777777" w:rsidR="00B14FA3" w:rsidRPr="00B14FA3" w:rsidRDefault="00B14FA3" w:rsidP="00B14FA3">
            <w:pPr>
              <w:keepNext/>
              <w:ind w:firstLine="0"/>
              <w:jc w:val="left"/>
            </w:pPr>
            <w:r>
              <w:rPr>
                <w:color w:val="000000"/>
                <w:szCs w:val="21"/>
              </w:rPr>
              <w:t>4656</w:t>
            </w:r>
          </w:p>
        </w:tc>
        <w:tc>
          <w:tcPr>
            <w:tcW w:w="2000" w:type="dxa"/>
            <w:tcBorders>
              <w:top w:val="nil"/>
              <w:left w:val="nil"/>
              <w:bottom w:val="nil"/>
              <w:right w:val="nil"/>
            </w:tcBorders>
            <w:tcMar>
              <w:top w:w="55" w:type="dxa"/>
              <w:left w:w="70" w:type="dxa"/>
              <w:bottom w:w="55" w:type="dxa"/>
              <w:right w:w="70" w:type="dxa"/>
            </w:tcMar>
            <w:vAlign w:val="center"/>
            <w:hideMark/>
          </w:tcPr>
          <w:p w14:paraId="28CCFDF6" w14:textId="77777777" w:rsidR="00B14FA3" w:rsidRPr="00B14FA3" w:rsidRDefault="00B14FA3" w:rsidP="00B14FA3">
            <w:pPr>
              <w:keepNext/>
              <w:ind w:firstLine="0"/>
              <w:jc w:val="left"/>
            </w:pPr>
            <w:r>
              <w:rPr>
                <w:color w:val="000000"/>
                <w:szCs w:val="21"/>
              </w:rPr>
              <w:t>0.194±0.002</w:t>
            </w:r>
          </w:p>
        </w:tc>
        <w:tc>
          <w:tcPr>
            <w:tcW w:w="2000" w:type="dxa"/>
            <w:tcBorders>
              <w:top w:val="nil"/>
              <w:left w:val="nil"/>
              <w:bottom w:val="nil"/>
              <w:right w:val="nil"/>
            </w:tcBorders>
            <w:tcMar>
              <w:top w:w="55" w:type="dxa"/>
              <w:left w:w="70" w:type="dxa"/>
              <w:bottom w:w="55" w:type="dxa"/>
              <w:right w:w="70" w:type="dxa"/>
            </w:tcMar>
            <w:vAlign w:val="center"/>
            <w:hideMark/>
          </w:tcPr>
          <w:p w14:paraId="5B37841B" w14:textId="77777777" w:rsidR="00B14FA3" w:rsidRPr="00B14FA3" w:rsidRDefault="00B14FA3" w:rsidP="00B14FA3">
            <w:pPr>
              <w:keepNext/>
              <w:ind w:firstLine="0"/>
              <w:jc w:val="left"/>
            </w:pPr>
            <w:r>
              <w:rPr>
                <w:color w:val="000000"/>
                <w:szCs w:val="21"/>
              </w:rPr>
              <w:t>0.188±0.009</w:t>
            </w:r>
          </w:p>
        </w:tc>
      </w:tr>
      <w:tr w:rsidR="00B10182" w14:paraId="30BC0D54"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0D2E5A7E"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465248BF" w14:textId="77777777" w:rsidR="00B14FA3" w:rsidRPr="00B14FA3" w:rsidRDefault="00B14FA3" w:rsidP="00B14FA3">
            <w:pPr>
              <w:keepNext/>
              <w:ind w:firstLine="0"/>
              <w:jc w:val="left"/>
            </w:pPr>
            <w:r>
              <w:rPr>
                <w:color w:val="000000"/>
                <w:szCs w:val="21"/>
              </w:rPr>
              <w:t>LightTS</w:t>
            </w:r>
          </w:p>
        </w:tc>
        <w:tc>
          <w:tcPr>
            <w:tcW w:w="1200" w:type="dxa"/>
            <w:tcBorders>
              <w:top w:val="nil"/>
              <w:left w:val="nil"/>
              <w:bottom w:val="nil"/>
              <w:right w:val="nil"/>
            </w:tcBorders>
            <w:tcMar>
              <w:top w:w="55" w:type="dxa"/>
              <w:left w:w="70" w:type="dxa"/>
              <w:bottom w:w="55" w:type="dxa"/>
              <w:right w:w="70" w:type="dxa"/>
            </w:tcMar>
            <w:vAlign w:val="center"/>
            <w:hideMark/>
          </w:tcPr>
          <w:p w14:paraId="5DBDB155" w14:textId="77777777" w:rsidR="00B14FA3" w:rsidRPr="00B14FA3" w:rsidRDefault="00B14FA3" w:rsidP="00B14FA3">
            <w:pPr>
              <w:keepNext/>
              <w:ind w:firstLine="0"/>
              <w:jc w:val="left"/>
            </w:pPr>
            <w:r>
              <w:rPr>
                <w:color w:val="000000"/>
                <w:szCs w:val="21"/>
              </w:rPr>
              <w:t>130162</w:t>
            </w:r>
          </w:p>
        </w:tc>
        <w:tc>
          <w:tcPr>
            <w:tcW w:w="2000" w:type="dxa"/>
            <w:tcBorders>
              <w:top w:val="nil"/>
              <w:left w:val="nil"/>
              <w:bottom w:val="nil"/>
              <w:right w:val="nil"/>
            </w:tcBorders>
            <w:tcMar>
              <w:top w:w="55" w:type="dxa"/>
              <w:left w:w="70" w:type="dxa"/>
              <w:bottom w:w="55" w:type="dxa"/>
              <w:right w:w="70" w:type="dxa"/>
            </w:tcMar>
            <w:vAlign w:val="center"/>
            <w:hideMark/>
          </w:tcPr>
          <w:p w14:paraId="514903F0" w14:textId="77777777" w:rsidR="00B14FA3" w:rsidRPr="00B14FA3" w:rsidRDefault="00B14FA3" w:rsidP="00B14FA3">
            <w:pPr>
              <w:keepNext/>
              <w:ind w:firstLine="0"/>
              <w:jc w:val="left"/>
            </w:pPr>
            <w:r>
              <w:rPr>
                <w:color w:val="000000"/>
                <w:szCs w:val="21"/>
              </w:rPr>
              <w:t>0.265±0.011</w:t>
            </w:r>
          </w:p>
        </w:tc>
        <w:tc>
          <w:tcPr>
            <w:tcW w:w="2000" w:type="dxa"/>
            <w:tcBorders>
              <w:top w:val="nil"/>
              <w:left w:val="nil"/>
              <w:bottom w:val="nil"/>
              <w:right w:val="nil"/>
            </w:tcBorders>
            <w:tcMar>
              <w:top w:w="55" w:type="dxa"/>
              <w:left w:w="70" w:type="dxa"/>
              <w:bottom w:w="55" w:type="dxa"/>
              <w:right w:w="70" w:type="dxa"/>
            </w:tcMar>
            <w:vAlign w:val="center"/>
            <w:hideMark/>
          </w:tcPr>
          <w:p w14:paraId="7928E3E7" w14:textId="77777777" w:rsidR="00B14FA3" w:rsidRPr="00B14FA3" w:rsidRDefault="00B14FA3" w:rsidP="00B14FA3">
            <w:pPr>
              <w:keepNext/>
              <w:ind w:firstLine="0"/>
              <w:jc w:val="left"/>
            </w:pPr>
            <w:r>
              <w:rPr>
                <w:color w:val="000000"/>
                <w:szCs w:val="21"/>
              </w:rPr>
              <w:t>0.204±0.008</w:t>
            </w:r>
          </w:p>
        </w:tc>
      </w:tr>
      <w:tr w:rsidR="00B10182" w14:paraId="346D7B1E"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39582576"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05A1E076" w14:textId="77777777" w:rsidR="00B14FA3" w:rsidRPr="00B14FA3" w:rsidRDefault="00B14FA3" w:rsidP="00B14FA3">
            <w:pPr>
              <w:keepNext/>
              <w:ind w:firstLine="0"/>
              <w:jc w:val="left"/>
            </w:pPr>
            <w:r>
              <w:rPr>
                <w:color w:val="000000"/>
                <w:szCs w:val="21"/>
              </w:rPr>
              <w:t>本文方法</w:t>
            </w:r>
          </w:p>
        </w:tc>
        <w:tc>
          <w:tcPr>
            <w:tcW w:w="1200" w:type="dxa"/>
            <w:tcBorders>
              <w:top w:val="nil"/>
              <w:left w:val="nil"/>
              <w:bottom w:val="nil"/>
              <w:right w:val="nil"/>
            </w:tcBorders>
            <w:tcMar>
              <w:top w:w="55" w:type="dxa"/>
              <w:left w:w="70" w:type="dxa"/>
              <w:bottom w:w="55" w:type="dxa"/>
              <w:right w:w="70" w:type="dxa"/>
            </w:tcMar>
            <w:vAlign w:val="center"/>
            <w:hideMark/>
          </w:tcPr>
          <w:p w14:paraId="2E2CB203" w14:textId="77777777" w:rsidR="00B14FA3" w:rsidRPr="00B14FA3" w:rsidRDefault="00B14FA3" w:rsidP="00B14FA3">
            <w:pPr>
              <w:keepNext/>
              <w:ind w:firstLine="0"/>
              <w:jc w:val="left"/>
            </w:pPr>
            <w:r>
              <w:rPr>
                <w:color w:val="000000"/>
                <w:szCs w:val="21"/>
              </w:rPr>
              <w:t>8339</w:t>
            </w:r>
          </w:p>
        </w:tc>
        <w:tc>
          <w:tcPr>
            <w:tcW w:w="2000" w:type="dxa"/>
            <w:tcBorders>
              <w:top w:val="nil"/>
              <w:left w:val="nil"/>
              <w:bottom w:val="nil"/>
              <w:right w:val="nil"/>
            </w:tcBorders>
            <w:tcMar>
              <w:top w:w="55" w:type="dxa"/>
              <w:left w:w="70" w:type="dxa"/>
              <w:bottom w:w="55" w:type="dxa"/>
              <w:right w:w="70" w:type="dxa"/>
            </w:tcMar>
            <w:vAlign w:val="center"/>
            <w:hideMark/>
          </w:tcPr>
          <w:p w14:paraId="03B5D7D6" w14:textId="77777777" w:rsidR="00B14FA3" w:rsidRPr="00B14FA3" w:rsidRDefault="00B14FA3" w:rsidP="00B14FA3">
            <w:pPr>
              <w:keepNext/>
              <w:ind w:firstLine="0"/>
              <w:jc w:val="left"/>
            </w:pPr>
            <w:r>
              <w:rPr>
                <w:color w:val="000000"/>
                <w:szCs w:val="21"/>
              </w:rPr>
              <w:t>0.186±0.002</w:t>
            </w:r>
          </w:p>
        </w:tc>
        <w:tc>
          <w:tcPr>
            <w:tcW w:w="2000" w:type="dxa"/>
            <w:tcBorders>
              <w:top w:val="nil"/>
              <w:left w:val="nil"/>
              <w:bottom w:val="nil"/>
              <w:right w:val="nil"/>
            </w:tcBorders>
            <w:tcMar>
              <w:top w:w="55" w:type="dxa"/>
              <w:left w:w="70" w:type="dxa"/>
              <w:bottom w:w="55" w:type="dxa"/>
              <w:right w:w="70" w:type="dxa"/>
            </w:tcMar>
            <w:vAlign w:val="center"/>
            <w:hideMark/>
          </w:tcPr>
          <w:p w14:paraId="7225EFCD" w14:textId="77777777" w:rsidR="00B14FA3" w:rsidRPr="00B14FA3" w:rsidRDefault="00B14FA3" w:rsidP="00B14FA3">
            <w:pPr>
              <w:keepNext/>
              <w:ind w:firstLine="0"/>
              <w:jc w:val="left"/>
            </w:pPr>
            <w:r>
              <w:rPr>
                <w:color w:val="000000"/>
                <w:szCs w:val="21"/>
              </w:rPr>
              <w:t>0.168±0.001</w:t>
            </w:r>
          </w:p>
        </w:tc>
      </w:tr>
      <w:tr w:rsidR="00B10182" w14:paraId="08C5DFD2"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6718FA40"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4445469C" w14:textId="77777777" w:rsidR="00B14FA3" w:rsidRPr="00B14FA3" w:rsidRDefault="00B14FA3" w:rsidP="00B14FA3">
            <w:pPr>
              <w:keepNext/>
              <w:ind w:firstLine="0"/>
              <w:jc w:val="left"/>
            </w:pPr>
            <w:r>
              <w:rPr>
                <w:color w:val="000000"/>
                <w:szCs w:val="21"/>
              </w:rPr>
              <w:t>DLinear</w:t>
            </w:r>
          </w:p>
        </w:tc>
        <w:tc>
          <w:tcPr>
            <w:tcW w:w="1200" w:type="dxa"/>
            <w:tcBorders>
              <w:top w:val="nil"/>
              <w:left w:val="nil"/>
              <w:bottom w:val="nil"/>
              <w:right w:val="nil"/>
            </w:tcBorders>
            <w:tcMar>
              <w:top w:w="55" w:type="dxa"/>
              <w:left w:w="70" w:type="dxa"/>
              <w:bottom w:w="55" w:type="dxa"/>
              <w:right w:w="70" w:type="dxa"/>
            </w:tcMar>
            <w:vAlign w:val="center"/>
            <w:hideMark/>
          </w:tcPr>
          <w:p w14:paraId="30B2B4F3" w14:textId="77777777" w:rsidR="00B14FA3" w:rsidRPr="00B14FA3" w:rsidRDefault="00B14FA3" w:rsidP="00B14FA3">
            <w:pPr>
              <w:keepNext/>
              <w:ind w:firstLine="0"/>
              <w:jc w:val="left"/>
            </w:pPr>
            <w:r>
              <w:rPr>
                <w:color w:val="000000"/>
                <w:szCs w:val="21"/>
              </w:rPr>
              <w:t>4656</w:t>
            </w:r>
          </w:p>
        </w:tc>
        <w:tc>
          <w:tcPr>
            <w:tcW w:w="2000" w:type="dxa"/>
            <w:tcBorders>
              <w:top w:val="nil"/>
              <w:left w:val="nil"/>
              <w:bottom w:val="nil"/>
              <w:right w:val="nil"/>
            </w:tcBorders>
            <w:tcMar>
              <w:top w:w="55" w:type="dxa"/>
              <w:left w:w="70" w:type="dxa"/>
              <w:bottom w:w="55" w:type="dxa"/>
              <w:right w:w="70" w:type="dxa"/>
            </w:tcMar>
            <w:vAlign w:val="center"/>
            <w:hideMark/>
          </w:tcPr>
          <w:p w14:paraId="52D4A5CB" w14:textId="77777777" w:rsidR="00B14FA3" w:rsidRPr="00B14FA3" w:rsidRDefault="00B14FA3" w:rsidP="00B14FA3">
            <w:pPr>
              <w:keepNext/>
              <w:ind w:firstLine="0"/>
              <w:jc w:val="left"/>
            </w:pPr>
            <w:r>
              <w:rPr>
                <w:color w:val="000000"/>
                <w:szCs w:val="21"/>
              </w:rPr>
              <w:t>0.454±0.007</w:t>
            </w:r>
          </w:p>
        </w:tc>
        <w:tc>
          <w:tcPr>
            <w:tcW w:w="2000" w:type="dxa"/>
            <w:tcBorders>
              <w:top w:val="nil"/>
              <w:left w:val="nil"/>
              <w:bottom w:val="nil"/>
              <w:right w:val="nil"/>
            </w:tcBorders>
            <w:tcMar>
              <w:top w:w="55" w:type="dxa"/>
              <w:left w:w="70" w:type="dxa"/>
              <w:bottom w:w="55" w:type="dxa"/>
              <w:right w:w="70" w:type="dxa"/>
            </w:tcMar>
            <w:vAlign w:val="center"/>
            <w:hideMark/>
          </w:tcPr>
          <w:p w14:paraId="42E93C94" w14:textId="77777777" w:rsidR="00B14FA3" w:rsidRPr="00B14FA3" w:rsidRDefault="00B14FA3" w:rsidP="00B14FA3">
            <w:pPr>
              <w:keepNext/>
              <w:ind w:firstLine="0"/>
              <w:jc w:val="left"/>
            </w:pPr>
            <w:r>
              <w:rPr>
                <w:color w:val="000000"/>
                <w:szCs w:val="21"/>
              </w:rPr>
              <w:t>0.383±0.006</w:t>
            </w:r>
          </w:p>
        </w:tc>
      </w:tr>
      <w:tr w:rsidR="00B10182" w14:paraId="14CFFB90"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2A283DE7"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64DB8CC0" w14:textId="77777777" w:rsidR="00B14FA3" w:rsidRPr="00B14FA3" w:rsidRDefault="00B14FA3" w:rsidP="00B14FA3">
            <w:pPr>
              <w:keepNext/>
              <w:ind w:firstLine="0"/>
              <w:jc w:val="left"/>
            </w:pPr>
            <w:r>
              <w:rPr>
                <w:color w:val="000000"/>
                <w:szCs w:val="21"/>
              </w:rPr>
              <w:t>LightTS</w:t>
            </w:r>
          </w:p>
        </w:tc>
        <w:tc>
          <w:tcPr>
            <w:tcW w:w="1200" w:type="dxa"/>
            <w:tcBorders>
              <w:top w:val="nil"/>
              <w:left w:val="nil"/>
              <w:bottom w:val="nil"/>
              <w:right w:val="nil"/>
            </w:tcBorders>
            <w:tcMar>
              <w:top w:w="55" w:type="dxa"/>
              <w:left w:w="70" w:type="dxa"/>
              <w:bottom w:w="55" w:type="dxa"/>
              <w:right w:w="70" w:type="dxa"/>
            </w:tcMar>
            <w:vAlign w:val="center"/>
            <w:hideMark/>
          </w:tcPr>
          <w:p w14:paraId="55B386AD" w14:textId="77777777" w:rsidR="00B14FA3" w:rsidRPr="00B14FA3" w:rsidRDefault="00B14FA3" w:rsidP="00B14FA3">
            <w:pPr>
              <w:keepNext/>
              <w:ind w:firstLine="0"/>
              <w:jc w:val="left"/>
            </w:pPr>
            <w:r>
              <w:rPr>
                <w:color w:val="000000"/>
                <w:szCs w:val="21"/>
              </w:rPr>
              <w:t>384382</w:t>
            </w:r>
          </w:p>
        </w:tc>
        <w:tc>
          <w:tcPr>
            <w:tcW w:w="2000" w:type="dxa"/>
            <w:tcBorders>
              <w:top w:val="nil"/>
              <w:left w:val="nil"/>
              <w:bottom w:val="nil"/>
              <w:right w:val="nil"/>
            </w:tcBorders>
            <w:tcMar>
              <w:top w:w="55" w:type="dxa"/>
              <w:left w:w="70" w:type="dxa"/>
              <w:bottom w:w="55" w:type="dxa"/>
              <w:right w:w="70" w:type="dxa"/>
            </w:tcMar>
            <w:vAlign w:val="center"/>
            <w:hideMark/>
          </w:tcPr>
          <w:p w14:paraId="63428E63" w14:textId="77777777" w:rsidR="00B14FA3" w:rsidRPr="00B14FA3" w:rsidRDefault="00B14FA3" w:rsidP="00B14FA3">
            <w:pPr>
              <w:keepNext/>
              <w:ind w:firstLine="0"/>
              <w:jc w:val="left"/>
            </w:pPr>
            <w:r>
              <w:rPr>
                <w:color w:val="000000"/>
                <w:szCs w:val="21"/>
              </w:rPr>
              <w:t>0.817±0.024</w:t>
            </w:r>
          </w:p>
        </w:tc>
        <w:tc>
          <w:tcPr>
            <w:tcW w:w="2000" w:type="dxa"/>
            <w:tcBorders>
              <w:top w:val="nil"/>
              <w:left w:val="nil"/>
              <w:bottom w:val="nil"/>
              <w:right w:val="nil"/>
            </w:tcBorders>
            <w:tcMar>
              <w:top w:w="55" w:type="dxa"/>
              <w:left w:w="70" w:type="dxa"/>
              <w:bottom w:w="55" w:type="dxa"/>
              <w:right w:w="70" w:type="dxa"/>
            </w:tcMar>
            <w:vAlign w:val="center"/>
            <w:hideMark/>
          </w:tcPr>
          <w:p w14:paraId="0B5D4941" w14:textId="77777777" w:rsidR="00B14FA3" w:rsidRPr="00B14FA3" w:rsidRDefault="00B14FA3" w:rsidP="00B14FA3">
            <w:pPr>
              <w:keepNext/>
              <w:ind w:firstLine="0"/>
              <w:jc w:val="left"/>
            </w:pPr>
            <w:r>
              <w:rPr>
                <w:color w:val="000000"/>
                <w:szCs w:val="21"/>
              </w:rPr>
              <w:t>0.523±0.014</w:t>
            </w:r>
          </w:p>
        </w:tc>
      </w:tr>
      <w:tr w:rsidR="00B10182" w14:paraId="72F28BC4"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09F27897"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3608F1F4" w14:textId="77777777" w:rsidR="00B14FA3" w:rsidRPr="00B14FA3" w:rsidRDefault="00B14FA3" w:rsidP="00B14FA3">
            <w:pPr>
              <w:keepNext/>
              <w:ind w:firstLine="0"/>
              <w:jc w:val="left"/>
            </w:pPr>
            <w:r>
              <w:rPr>
                <w:color w:val="000000"/>
                <w:szCs w:val="21"/>
              </w:rPr>
              <w:t>本文方法</w:t>
            </w:r>
          </w:p>
        </w:tc>
        <w:tc>
          <w:tcPr>
            <w:tcW w:w="1200" w:type="dxa"/>
            <w:tcBorders>
              <w:top w:val="nil"/>
              <w:left w:val="nil"/>
              <w:bottom w:val="nil"/>
              <w:right w:val="nil"/>
            </w:tcBorders>
            <w:tcMar>
              <w:top w:w="55" w:type="dxa"/>
              <w:left w:w="70" w:type="dxa"/>
              <w:bottom w:w="55" w:type="dxa"/>
              <w:right w:w="70" w:type="dxa"/>
            </w:tcMar>
            <w:vAlign w:val="center"/>
            <w:hideMark/>
          </w:tcPr>
          <w:p w14:paraId="1036E0DB" w14:textId="77777777" w:rsidR="00B14FA3" w:rsidRPr="00B14FA3" w:rsidRDefault="00B14FA3" w:rsidP="00B14FA3">
            <w:pPr>
              <w:keepNext/>
              <w:ind w:firstLine="0"/>
              <w:jc w:val="left"/>
            </w:pPr>
            <w:r>
              <w:rPr>
                <w:color w:val="000000"/>
                <w:szCs w:val="21"/>
              </w:rPr>
              <w:t>8339</w:t>
            </w:r>
          </w:p>
        </w:tc>
        <w:tc>
          <w:tcPr>
            <w:tcW w:w="2000" w:type="dxa"/>
            <w:tcBorders>
              <w:top w:val="nil"/>
              <w:left w:val="nil"/>
              <w:bottom w:val="nil"/>
              <w:right w:val="nil"/>
            </w:tcBorders>
            <w:tcMar>
              <w:top w:w="55" w:type="dxa"/>
              <w:left w:w="70" w:type="dxa"/>
              <w:bottom w:w="55" w:type="dxa"/>
              <w:right w:w="70" w:type="dxa"/>
            </w:tcMar>
            <w:vAlign w:val="center"/>
            <w:hideMark/>
          </w:tcPr>
          <w:p w14:paraId="245CE26A" w14:textId="77777777" w:rsidR="00B14FA3" w:rsidRPr="00B14FA3" w:rsidRDefault="00B14FA3" w:rsidP="00B14FA3">
            <w:pPr>
              <w:keepNext/>
              <w:ind w:firstLine="0"/>
              <w:jc w:val="left"/>
            </w:pPr>
            <w:r>
              <w:rPr>
                <w:color w:val="000000"/>
                <w:szCs w:val="21"/>
              </w:rPr>
              <w:t>0.434±0.051</w:t>
            </w:r>
          </w:p>
        </w:tc>
        <w:tc>
          <w:tcPr>
            <w:tcW w:w="2000" w:type="dxa"/>
            <w:tcBorders>
              <w:top w:val="nil"/>
              <w:left w:val="nil"/>
              <w:bottom w:val="nil"/>
              <w:right w:val="nil"/>
            </w:tcBorders>
            <w:tcMar>
              <w:top w:w="55" w:type="dxa"/>
              <w:left w:w="70" w:type="dxa"/>
              <w:bottom w:w="55" w:type="dxa"/>
              <w:right w:w="70" w:type="dxa"/>
            </w:tcMar>
            <w:vAlign w:val="center"/>
            <w:hideMark/>
          </w:tcPr>
          <w:p w14:paraId="1A66C078" w14:textId="77777777" w:rsidR="00B14FA3" w:rsidRPr="00B14FA3" w:rsidRDefault="00B14FA3" w:rsidP="00B14FA3">
            <w:pPr>
              <w:keepNext/>
              <w:ind w:firstLine="0"/>
              <w:jc w:val="left"/>
            </w:pPr>
            <w:r>
              <w:rPr>
                <w:color w:val="000000"/>
                <w:szCs w:val="21"/>
              </w:rPr>
              <w:t>0.370±0.031</w:t>
            </w:r>
          </w:p>
        </w:tc>
      </w:tr>
    </w:tbl>
    <w:p w14:paraId="5DE8C5AD" w14:textId="77777777" w:rsidR="00B14FA3" w:rsidRPr="00B14FA3" w:rsidRDefault="00B14FA3" w:rsidP="00B14FA3">
      <w:r>
        <w:rPr>
          <w:color w:val="000000"/>
          <w:szCs w:val="21"/>
        </w:rPr>
        <w:t>图3进一步给出了随机种子42—44的单次实验结果，用于观察表2中的平均值由哪些重复实验构成。Abilene上，本文方法在3次实验中的MSE和MAE均低于DLinear和LightTS。GÉANT上，相对LightTS的3次结果同样保持较低误差；与DLinear相比则存在个别随机种子的波动，但3次结果取平均后仍低于DLinear。由此可见，表2中的平均改善并非完全来自某一个随机种子的异常结果，尤其在Abilene上，3次重复实验的变化方向较一致。</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pPr>
        <w:jc w:val="center"/>
        <w:keepNext/>
      </w:pPr>
      <w:r>
        <w:drawing>
          <wp:inline xmlns:a="http://schemas.openxmlformats.org/drawingml/2006/main" xmlns:pic="http://schemas.openxmlformats.org/drawingml/2006/picture">
            <wp:extent cx="5074920" cy="3749116"/>
            <wp:docPr id="23" name="图2 三随机种子外部基线配对结果" descr="Abilene和GÉANT上DLinear、LightTS与本文方法在seed42至44下的MSE和MAE配对结果；方形、圆形和三角形分别表示seed42、43和44，实线连接三种子均值。"/>
            <wp:cNvGraphicFramePr>
              <a:graphicFrameLocks noChangeAspect="1"/>
            </wp:cNvGraphicFramePr>
            <a:graphic>
              <a:graphicData uri="http://schemas.openxmlformats.org/drawingml/2006/picture">
                <pic:pic>
                  <pic:nvPicPr>
                    <pic:cNvPr id="0" name="fig2_external_baseline_reduction_color.png"/>
                    <pic:cNvPicPr/>
                  </pic:nvPicPr>
                  <pic:blipFill>
                    <a:blip r:embed="rId15"/>
                    <a:stretch>
                      <a:fillRect/>
                    </a:stretch>
                  </pic:blipFill>
                  <pic:spPr>
                    <a:xfrm>
                      <a:off x="0" y="0"/>
                      <a:ext cx="5074920" cy="3749116"/>
                    </a:xfrm>
                    <a:prstGeom prst="rect"/>
                  </pic:spPr>
                </pic:pic>
              </a:graphicData>
            </a:graphic>
          </wp:inline>
        </w:drawing>
      </w:r>
    </w:p>
    <w:p w14:paraId="64F9B12D" w14:textId="77777777" w:rsidR="00B14FA3" w:rsidRPr="00B14FA3" w:rsidRDefault="00B14FA3" w:rsidP="00B14FA3">
      <w:pPr>
        <w:keepLines/>
        <w:spacing w:before="60" w:after="80"/>
        <w:ind w:firstLine="0"/>
        <w:jc w:val="center"/>
      </w:pPr>
      <w:r>
        <w:rPr>
          <w:rFonts w:eastAsia="黑体"/>
          <w:b/>
          <w:sz w:val="18"/>
          <w:szCs w:val="18"/>
        </w:rPr>
        <w:t>图3 Abilene与GÉANT上三随机种子外部基线配对结果</w:t>
      </w:r>
    </w:p>
    <w:p>
      <w:pPr/>
      <w:r>
        <w:t>两个数据集上的相对降幅并不完全相同。GÉANT的OD变量数明显多于Abilene，而本文方法相对LightTS在GÉANT上的MSE降幅也更大；不过，这一现象只能说明在当前数据集和实验设置下两种模型之间的差距不同，不能据此把误差变化简单归因于变量规模。更直接的判断仍需要依赖后续固定等权消融，因为该模型与本文方法共享相同的多尺度专家结构。</w:t>
      </w:r>
    </w:p>
    <w:p>
      <w:pPr/>
      <w:r>
        <w:t>平均指标能够反映整体误差水平，但不容易展示24步预测过程中预测轨迹与真实序列之间的关系。因此，图4给出随机种子42下的代表性测试窗口。样本选择不依据本文方法相对DLinear的提升幅度：先选择本文方法绝对误差最接近全部测试窗口中位数的窗口，再在该窗口的非恒定OD通道中选择真实值波动程度接近通道中位数的通道，以避免仅展示最有利的预测案例。</w:t>
      </w:r>
    </w:p>
    <w:p>
      <w:pPr>
        <w:jc w:val="center"/>
      </w:pPr>
      <w:r>
        <w:drawing>
          <wp:inline xmlns:a="http://schemas.openxmlformats.org/drawingml/2006/main" xmlns:pic="http://schemas.openxmlformats.org/drawingml/2006/picture">
            <wp:extent cx="5715000" cy="2044842"/>
            <wp:docPr id="25" name="Picture 2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715000" cy="2044842"/>
                    </a:xfrm>
                    <a:prstGeom prst="rect"/>
                  </pic:spPr>
                </pic:pic>
              </a:graphicData>
            </a:graphic>
          </wp:inline>
        </w:drawing>
      </w:r>
    </w:p>
    <w:p>
      <w:pPr>
        <w:jc w:val="center"/>
      </w:pPr>
      <w:r>
        <w:t>图4 Abilene与GÉANT代表性测试窗口的24步预测结果</w:t>
      </w:r>
    </w:p>
    <w:p>
      <w:pPr/>
      <w:r>
        <w:t>图4中，两种模型均能跟随真实序列的主要变化，但局部预测阶段仍存在不同程度的偏差。Abilene示例中，本文方法在若干快速上升和回落区间与真实值更接近；GÉANT示例中，两条预测曲线在部分时段各有偏差。该图的作用是补充展示单个代表性窗口的预测形态，而不是用一个案例替代表2的多随机种子平均结果；整体性能判断仍以全部测试窗口上的MSE和MAE为依据。</w:t>
      </w:r>
    </w:p>
    <w:p w14:paraId="45F47835" w14:textId="77777777" w:rsidR="00B14FA3" w:rsidRPr="00B14FA3" w:rsidRDefault="00B14FA3" w:rsidP="00B14FA3">
      <w:pPr>
        <w:keepNext/>
        <w:keepLines/>
        <w:spacing w:before="80" w:after="20"/>
        <w:ind w:firstLine="0"/>
        <w:jc w:val="left"/>
        <w:outlineLvl w:val="1"/>
        <w:rPr>
          <w:rFonts w:eastAsia="黑体"/>
          <w:b/>
          <w:bCs/>
          <w:szCs w:val="32"/>
        </w:rPr>
      </w:pPr>
      <w:r>
        <w:rPr>
          <w:rFonts w:ascii="Arial" w:eastAsia="黑体" w:hAnsi="Arial"/>
          <w:b/>
          <w:bCs/>
          <w:color w:val="000000"/>
          <w:szCs w:val="21"/>
        </w:rPr>
        <w:t xml:space="preserve">2.4 </w:t>
      </w:r>
      <w:r>
        <w:rPr>
          <w:rFonts w:ascii="Arial" w:eastAsia="黑体" w:hAnsi="Arial"/>
          <w:b/>
          <w:bCs/>
          <w:color w:val="000000"/>
          <w:szCs w:val="21"/>
        </w:rPr>
        <w:t>八随机种子核心消融与稳定性</w:t>
      </w:r>
    </w:p>
    <w:p w14:paraId="4EB4547B" w14:textId="77777777" w:rsidR="00B14FA3" w:rsidRPr="00B14FA3" w:rsidRDefault="00B14FA3" w:rsidP="00B14FA3">
      <w:r>
        <w:rPr>
          <w:color w:val="000000"/>
          <w:szCs w:val="21"/>
        </w:rPr>
        <w:t>为进一步区分多尺度结构和自适应权重各自带来的影响，表3把核心模型扩展到随机种子42—49共8次重复实验。这里可以按两步理解结果。第一步比较DLinear与本文方法：Abilene和GÉANT上的平均MSE分别降低2.77%和2.37%，说明完整模型相对单尺度DLinear保持较低的平均误差。第二步比较固定等权多尺度模型与本文方法：两者拥有相同的尺度集合和3个DLinear专家，区别只在融合权重是否随样本变化。在这一更严格的结构对照下，本文方法的平均MSE仍分别降低1.67%和4.68%。因此，表3把性能变化分成了“引入多尺度信息”和“进一步改变尺度融合方式”两个层次。</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7719DA9B" w14:textId="77777777" w:rsidR="00B14FA3" w:rsidRPr="00B14FA3" w:rsidRDefault="00B14FA3" w:rsidP="00B14FA3">
      <w:pPr>
        <w:keepNext/>
        <w:spacing w:before="60" w:after="40"/>
        <w:ind w:firstLine="0"/>
        <w:jc w:val="center"/>
      </w:pPr>
      <w:r>
        <w:rPr>
          <w:rFonts w:eastAsia="黑体"/>
          <w:b/>
          <w:color w:val="000000"/>
          <w:sz w:val="18"/>
        </w:rPr>
        <w:t>表</w:t>
      </w:r>
      <w:r>
        <w:rPr>
          <w:rFonts w:eastAsia="黑体"/>
          <w:b/>
          <w:color w:val="000000"/>
          <w:sz w:val="18"/>
        </w:rPr>
        <w:t xml:space="preserve">3 </w:t>
      </w:r>
      <w:r>
        <w:rPr>
          <w:rFonts w:eastAsia="黑体"/>
          <w:b/>
          <w:color w:val="000000"/>
          <w:sz w:val="18"/>
        </w:rPr>
        <w:t>八随机种子核心模型结果</w:t>
      </w:r>
    </w:p>
    <w:tbl>
      <w:tblPr>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300"/>
        <w:gridCol w:w="2500"/>
        <w:gridCol w:w="1200"/>
        <w:gridCol w:w="2000"/>
        <w:gridCol w:w="2000"/>
      </w:tblGrid>
      <w:tr w:rsidR="00B10182" w14:paraId="3DA1AD1C" w14:textId="77777777">
        <w:trPr>
          <w:cantSplit/>
          <w:tblHeader/>
          <w:jc w:val="center"/>
        </w:trPr>
        <w:tc>
          <w:tcPr>
            <w:tcW w:w="1300" w:type="dxa"/>
            <w:tcBorders>
              <w:bottom w:val="single" w:sz="8" w:space="0" w:color="000000"/>
            </w:tcBorders>
            <w:tcMar>
              <w:top w:w="55" w:type="dxa"/>
              <w:left w:w="70" w:type="dxa"/>
              <w:bottom w:w="55" w:type="dxa"/>
              <w:right w:w="70" w:type="dxa"/>
            </w:tcMar>
            <w:vAlign w:val="center"/>
            <w:hideMark/>
          </w:tcPr>
          <w:p w14:paraId="35E46A0A" w14:textId="77777777" w:rsidR="00B14FA3" w:rsidRPr="00B14FA3" w:rsidRDefault="00B14FA3" w:rsidP="00B14FA3">
            <w:pPr>
              <w:keepNext/>
              <w:ind w:firstLine="0"/>
              <w:jc w:val="center"/>
            </w:pPr>
            <w:r>
              <w:rPr>
                <w:b/>
                <w:color w:val="000000"/>
                <w:szCs w:val="21"/>
              </w:rPr>
              <w:t>数据集</w:t>
            </w:r>
          </w:p>
        </w:tc>
        <w:tc>
          <w:tcPr>
            <w:tcW w:w="2500" w:type="dxa"/>
            <w:tcBorders>
              <w:bottom w:val="single" w:sz="8" w:space="0" w:color="000000"/>
            </w:tcBorders>
            <w:tcMar>
              <w:top w:w="55" w:type="dxa"/>
              <w:left w:w="70" w:type="dxa"/>
              <w:bottom w:w="55" w:type="dxa"/>
              <w:right w:w="70" w:type="dxa"/>
            </w:tcMar>
            <w:vAlign w:val="center"/>
            <w:hideMark/>
          </w:tcPr>
          <w:p w14:paraId="16C4D3AF" w14:textId="77777777" w:rsidR="00B14FA3" w:rsidRPr="00B14FA3" w:rsidRDefault="00B14FA3" w:rsidP="00B14FA3">
            <w:pPr>
              <w:keepNext/>
              <w:ind w:firstLine="0"/>
              <w:jc w:val="center"/>
            </w:pPr>
            <w:r>
              <w:rPr>
                <w:b/>
                <w:color w:val="000000"/>
                <w:szCs w:val="21"/>
              </w:rPr>
              <w:t>模型</w:t>
            </w:r>
          </w:p>
        </w:tc>
        <w:tc>
          <w:tcPr>
            <w:tcW w:w="1200" w:type="dxa"/>
            <w:tcBorders>
              <w:bottom w:val="single" w:sz="8" w:space="0" w:color="000000"/>
            </w:tcBorders>
            <w:tcMar>
              <w:top w:w="55" w:type="dxa"/>
              <w:left w:w="70" w:type="dxa"/>
              <w:bottom w:w="55" w:type="dxa"/>
              <w:right w:w="70" w:type="dxa"/>
            </w:tcMar>
            <w:vAlign w:val="center"/>
            <w:hideMark/>
          </w:tcPr>
          <w:p w14:paraId="17F99015" w14:textId="77777777" w:rsidR="00B14FA3" w:rsidRPr="00B14FA3" w:rsidRDefault="00B14FA3" w:rsidP="00B14FA3">
            <w:pPr>
              <w:keepNext/>
              <w:ind w:firstLine="0"/>
              <w:jc w:val="center"/>
            </w:pPr>
            <w:r>
              <w:rPr>
                <w:b/>
                <w:color w:val="000000"/>
                <w:szCs w:val="21"/>
              </w:rPr>
              <w:t>参数量</w:t>
            </w:r>
          </w:p>
        </w:tc>
        <w:tc>
          <w:tcPr>
            <w:tcW w:w="2000" w:type="dxa"/>
            <w:tcBorders>
              <w:bottom w:val="single" w:sz="8" w:space="0" w:color="000000"/>
            </w:tcBorders>
            <w:tcMar>
              <w:top w:w="55" w:type="dxa"/>
              <w:left w:w="70" w:type="dxa"/>
              <w:bottom w:w="55" w:type="dxa"/>
              <w:right w:w="70" w:type="dxa"/>
            </w:tcMar>
            <w:vAlign w:val="center"/>
            <w:hideMark/>
          </w:tcPr>
          <w:p w14:paraId="5C192F3F" w14:textId="77777777" w:rsidR="00B14FA3" w:rsidRPr="00B14FA3" w:rsidRDefault="00B14FA3" w:rsidP="00B14FA3">
            <w:pPr>
              <w:keepNext/>
              <w:ind w:firstLine="0"/>
              <w:jc w:val="center"/>
            </w:pPr>
            <w:r>
              <w:rPr>
                <w:b/>
                <w:color w:val="000000"/>
                <w:szCs w:val="21"/>
              </w:rPr>
              <w:t>MSE</w:t>
            </w:r>
          </w:p>
        </w:tc>
        <w:tc>
          <w:tcPr>
            <w:tcW w:w="2000" w:type="dxa"/>
            <w:tcBorders>
              <w:bottom w:val="single" w:sz="8" w:space="0" w:color="000000"/>
            </w:tcBorders>
            <w:tcMar>
              <w:top w:w="55" w:type="dxa"/>
              <w:left w:w="70" w:type="dxa"/>
              <w:bottom w:w="55" w:type="dxa"/>
              <w:right w:w="70" w:type="dxa"/>
            </w:tcMar>
            <w:vAlign w:val="center"/>
            <w:hideMark/>
          </w:tcPr>
          <w:p w14:paraId="4D3677E0" w14:textId="77777777" w:rsidR="00B14FA3" w:rsidRPr="00B14FA3" w:rsidRDefault="00B14FA3" w:rsidP="00B14FA3">
            <w:pPr>
              <w:keepNext/>
              <w:ind w:firstLine="0"/>
              <w:jc w:val="center"/>
            </w:pPr>
            <w:r>
              <w:rPr>
                <w:b/>
                <w:color w:val="000000"/>
                <w:szCs w:val="21"/>
              </w:rPr>
              <w:t>MAE</w:t>
            </w:r>
          </w:p>
        </w:tc>
      </w:tr>
      <w:tr w:rsidR="00B10182" w14:paraId="74FD5207"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7E7AD1C0"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48CDB700" w14:textId="77777777" w:rsidR="00B14FA3" w:rsidRPr="00B14FA3" w:rsidRDefault="00B14FA3" w:rsidP="00B14FA3">
            <w:pPr>
              <w:keepNext/>
              <w:ind w:firstLine="0"/>
              <w:jc w:val="left"/>
            </w:pPr>
            <w:r>
              <w:rPr>
                <w:color w:val="000000"/>
                <w:szCs w:val="21"/>
              </w:rPr>
              <w:t>DLinear</w:t>
            </w:r>
          </w:p>
        </w:tc>
        <w:tc>
          <w:tcPr>
            <w:tcW w:w="1200" w:type="dxa"/>
            <w:tcBorders>
              <w:top w:val="nil"/>
              <w:left w:val="nil"/>
              <w:bottom w:val="nil"/>
              <w:right w:val="nil"/>
            </w:tcBorders>
            <w:tcMar>
              <w:top w:w="55" w:type="dxa"/>
              <w:left w:w="70" w:type="dxa"/>
              <w:bottom w:w="55" w:type="dxa"/>
              <w:right w:w="70" w:type="dxa"/>
            </w:tcMar>
            <w:vAlign w:val="center"/>
            <w:hideMark/>
          </w:tcPr>
          <w:p w14:paraId="16F24568" w14:textId="77777777" w:rsidR="00B14FA3" w:rsidRPr="00B14FA3" w:rsidRDefault="00B14FA3" w:rsidP="00B14FA3">
            <w:pPr>
              <w:keepNext/>
              <w:ind w:firstLine="0"/>
              <w:jc w:val="left"/>
            </w:pPr>
            <w:r>
              <w:rPr>
                <w:color w:val="000000"/>
                <w:szCs w:val="21"/>
              </w:rPr>
              <w:t>4656</w:t>
            </w:r>
          </w:p>
        </w:tc>
        <w:tc>
          <w:tcPr>
            <w:tcW w:w="2000" w:type="dxa"/>
            <w:tcBorders>
              <w:top w:val="nil"/>
              <w:left w:val="nil"/>
              <w:bottom w:val="nil"/>
              <w:right w:val="nil"/>
            </w:tcBorders>
            <w:tcMar>
              <w:top w:w="55" w:type="dxa"/>
              <w:left w:w="70" w:type="dxa"/>
              <w:bottom w:w="55" w:type="dxa"/>
              <w:right w:w="70" w:type="dxa"/>
            </w:tcMar>
            <w:vAlign w:val="center"/>
            <w:hideMark/>
          </w:tcPr>
          <w:p w14:paraId="675D686B" w14:textId="77777777" w:rsidR="00B14FA3" w:rsidRPr="00B14FA3" w:rsidRDefault="00B14FA3" w:rsidP="00B14FA3">
            <w:pPr>
              <w:keepNext/>
              <w:ind w:firstLine="0"/>
              <w:jc w:val="left"/>
            </w:pPr>
            <w:r>
              <w:rPr>
                <w:color w:val="000000"/>
                <w:szCs w:val="21"/>
              </w:rPr>
              <w:t>0.194±0.002</w:t>
            </w:r>
          </w:p>
        </w:tc>
        <w:tc>
          <w:tcPr>
            <w:tcW w:w="2000" w:type="dxa"/>
            <w:tcBorders>
              <w:top w:val="nil"/>
              <w:left w:val="nil"/>
              <w:bottom w:val="nil"/>
              <w:right w:val="nil"/>
            </w:tcBorders>
            <w:tcMar>
              <w:top w:w="55" w:type="dxa"/>
              <w:left w:w="70" w:type="dxa"/>
              <w:bottom w:w="55" w:type="dxa"/>
              <w:right w:w="70" w:type="dxa"/>
            </w:tcMar>
            <w:vAlign w:val="center"/>
            <w:hideMark/>
          </w:tcPr>
          <w:p w14:paraId="057BAF36" w14:textId="77777777" w:rsidR="00B14FA3" w:rsidRPr="00B14FA3" w:rsidRDefault="00B14FA3" w:rsidP="00B14FA3">
            <w:pPr>
              <w:keepNext/>
              <w:ind w:firstLine="0"/>
              <w:jc w:val="left"/>
            </w:pPr>
            <w:r>
              <w:rPr>
                <w:color w:val="000000"/>
                <w:szCs w:val="21"/>
              </w:rPr>
              <w:t>0.189±0.008</w:t>
            </w:r>
          </w:p>
        </w:tc>
      </w:tr>
      <w:tr w:rsidR="00B10182" w14:paraId="1610B718"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3540C537"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10DA8D66" w14:textId="77777777" w:rsidR="00B14FA3" w:rsidRPr="00B14FA3" w:rsidRDefault="00B14FA3" w:rsidP="00B14FA3">
            <w:pPr>
              <w:keepNext/>
              <w:ind w:firstLine="0"/>
              <w:jc w:val="left"/>
            </w:pPr>
            <w:r>
              <w:rPr>
                <w:color w:val="000000"/>
                <w:szCs w:val="21"/>
              </w:rPr>
              <w:t>固定等权多尺度</w:t>
            </w:r>
          </w:p>
        </w:tc>
        <w:tc>
          <w:tcPr>
            <w:tcW w:w="1200" w:type="dxa"/>
            <w:tcBorders>
              <w:top w:val="nil"/>
              <w:left w:val="nil"/>
              <w:bottom w:val="nil"/>
              <w:right w:val="nil"/>
            </w:tcBorders>
            <w:tcMar>
              <w:top w:w="55" w:type="dxa"/>
              <w:left w:w="70" w:type="dxa"/>
              <w:bottom w:w="55" w:type="dxa"/>
              <w:right w:w="70" w:type="dxa"/>
            </w:tcMar>
            <w:vAlign w:val="center"/>
            <w:hideMark/>
          </w:tcPr>
          <w:p w14:paraId="2B6F414C" w14:textId="77777777" w:rsidR="00B14FA3" w:rsidRPr="00B14FA3" w:rsidRDefault="00B14FA3" w:rsidP="00B14FA3">
            <w:pPr>
              <w:keepNext/>
              <w:ind w:firstLine="0"/>
              <w:jc w:val="left"/>
            </w:pPr>
            <w:r>
              <w:rPr>
                <w:color w:val="000000"/>
                <w:szCs w:val="21"/>
              </w:rPr>
              <w:t>8208</w:t>
            </w:r>
          </w:p>
        </w:tc>
        <w:tc>
          <w:tcPr>
            <w:tcW w:w="2000" w:type="dxa"/>
            <w:tcBorders>
              <w:top w:val="nil"/>
              <w:left w:val="nil"/>
              <w:bottom w:val="nil"/>
              <w:right w:val="nil"/>
            </w:tcBorders>
            <w:tcMar>
              <w:top w:w="55" w:type="dxa"/>
              <w:left w:w="70" w:type="dxa"/>
              <w:bottom w:w="55" w:type="dxa"/>
              <w:right w:w="70" w:type="dxa"/>
            </w:tcMar>
            <w:vAlign w:val="center"/>
            <w:hideMark/>
          </w:tcPr>
          <w:p w14:paraId="6628BFC6" w14:textId="77777777" w:rsidR="00B14FA3" w:rsidRPr="00B14FA3" w:rsidRDefault="00B14FA3" w:rsidP="00B14FA3">
            <w:pPr>
              <w:keepNext/>
              <w:ind w:firstLine="0"/>
              <w:jc w:val="left"/>
            </w:pPr>
            <w:r>
              <w:rPr>
                <w:color w:val="000000"/>
                <w:szCs w:val="21"/>
              </w:rPr>
              <w:t>0.192±0.002</w:t>
            </w:r>
          </w:p>
        </w:tc>
        <w:tc>
          <w:tcPr>
            <w:tcW w:w="2000" w:type="dxa"/>
            <w:tcBorders>
              <w:top w:val="nil"/>
              <w:left w:val="nil"/>
              <w:bottom w:val="nil"/>
              <w:right w:val="nil"/>
            </w:tcBorders>
            <w:tcMar>
              <w:top w:w="55" w:type="dxa"/>
              <w:left w:w="70" w:type="dxa"/>
              <w:bottom w:w="55" w:type="dxa"/>
              <w:right w:w="70" w:type="dxa"/>
            </w:tcMar>
            <w:vAlign w:val="center"/>
            <w:hideMark/>
          </w:tcPr>
          <w:p w14:paraId="4451ED7D" w14:textId="77777777" w:rsidR="00B14FA3" w:rsidRPr="00B14FA3" w:rsidRDefault="00B14FA3" w:rsidP="00B14FA3">
            <w:pPr>
              <w:keepNext/>
              <w:ind w:firstLine="0"/>
              <w:jc w:val="left"/>
            </w:pPr>
            <w:r>
              <w:rPr>
                <w:color w:val="000000"/>
                <w:szCs w:val="21"/>
              </w:rPr>
              <w:t>0.191±0.006</w:t>
            </w:r>
          </w:p>
        </w:tc>
      </w:tr>
      <w:tr w:rsidR="00B10182" w14:paraId="23DB7E98"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1A4CCFAA"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0FC76C3A" w14:textId="77777777" w:rsidR="00B14FA3" w:rsidRPr="00B14FA3" w:rsidRDefault="00B14FA3" w:rsidP="00B14FA3">
            <w:pPr>
              <w:keepNext/>
              <w:ind w:firstLine="0"/>
              <w:jc w:val="left"/>
            </w:pPr>
            <w:r>
              <w:rPr>
                <w:color w:val="000000"/>
                <w:szCs w:val="21"/>
              </w:rPr>
              <w:t>本文方法</w:t>
            </w:r>
          </w:p>
        </w:tc>
        <w:tc>
          <w:tcPr>
            <w:tcW w:w="1200" w:type="dxa"/>
            <w:tcBorders>
              <w:top w:val="nil"/>
              <w:left w:val="nil"/>
              <w:bottom w:val="nil"/>
              <w:right w:val="nil"/>
            </w:tcBorders>
            <w:tcMar>
              <w:top w:w="55" w:type="dxa"/>
              <w:left w:w="70" w:type="dxa"/>
              <w:bottom w:w="55" w:type="dxa"/>
              <w:right w:w="70" w:type="dxa"/>
            </w:tcMar>
            <w:vAlign w:val="center"/>
            <w:hideMark/>
          </w:tcPr>
          <w:p w14:paraId="708F9AC6" w14:textId="77777777" w:rsidR="00B14FA3" w:rsidRPr="00B14FA3" w:rsidRDefault="00B14FA3" w:rsidP="00B14FA3">
            <w:pPr>
              <w:keepNext/>
              <w:ind w:firstLine="0"/>
              <w:jc w:val="left"/>
            </w:pPr>
            <w:r>
              <w:rPr>
                <w:color w:val="000000"/>
                <w:szCs w:val="21"/>
              </w:rPr>
              <w:t>8339</w:t>
            </w:r>
          </w:p>
        </w:tc>
        <w:tc>
          <w:tcPr>
            <w:tcW w:w="2000" w:type="dxa"/>
            <w:tcBorders>
              <w:top w:val="nil"/>
              <w:left w:val="nil"/>
              <w:bottom w:val="nil"/>
              <w:right w:val="nil"/>
            </w:tcBorders>
            <w:tcMar>
              <w:top w:w="55" w:type="dxa"/>
              <w:left w:w="70" w:type="dxa"/>
              <w:bottom w:w="55" w:type="dxa"/>
              <w:right w:w="70" w:type="dxa"/>
            </w:tcMar>
            <w:vAlign w:val="center"/>
            <w:hideMark/>
          </w:tcPr>
          <w:p w14:paraId="5031967D" w14:textId="77777777" w:rsidR="00B14FA3" w:rsidRPr="00B14FA3" w:rsidRDefault="00B14FA3" w:rsidP="00B14FA3">
            <w:pPr>
              <w:keepNext/>
              <w:ind w:firstLine="0"/>
              <w:jc w:val="left"/>
            </w:pPr>
            <w:r>
              <w:rPr>
                <w:color w:val="000000"/>
                <w:szCs w:val="21"/>
              </w:rPr>
              <w:t>0.189±0.003</w:t>
            </w:r>
          </w:p>
        </w:tc>
        <w:tc>
          <w:tcPr>
            <w:tcW w:w="2000" w:type="dxa"/>
            <w:tcBorders>
              <w:top w:val="nil"/>
              <w:left w:val="nil"/>
              <w:bottom w:val="nil"/>
              <w:right w:val="nil"/>
            </w:tcBorders>
            <w:tcMar>
              <w:top w:w="55" w:type="dxa"/>
              <w:left w:w="70" w:type="dxa"/>
              <w:bottom w:w="55" w:type="dxa"/>
              <w:right w:w="70" w:type="dxa"/>
            </w:tcMar>
            <w:vAlign w:val="center"/>
            <w:hideMark/>
          </w:tcPr>
          <w:p w14:paraId="19671D4B" w14:textId="77777777" w:rsidR="00B14FA3" w:rsidRPr="00B14FA3" w:rsidRDefault="00B14FA3" w:rsidP="00B14FA3">
            <w:pPr>
              <w:keepNext/>
              <w:ind w:firstLine="0"/>
              <w:jc w:val="left"/>
            </w:pPr>
            <w:r>
              <w:rPr>
                <w:color w:val="000000"/>
                <w:szCs w:val="21"/>
              </w:rPr>
              <w:t>0.173±0.008</w:t>
            </w:r>
          </w:p>
        </w:tc>
      </w:tr>
      <w:tr w:rsidR="00B10182" w14:paraId="56D06F3E"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36945779"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73EC9705" w14:textId="77777777" w:rsidR="00B14FA3" w:rsidRPr="00B14FA3" w:rsidRDefault="00B14FA3" w:rsidP="00B14FA3">
            <w:pPr>
              <w:keepNext/>
              <w:ind w:firstLine="0"/>
              <w:jc w:val="left"/>
            </w:pPr>
            <w:r>
              <w:rPr>
                <w:color w:val="000000"/>
                <w:szCs w:val="21"/>
              </w:rPr>
              <w:t>DLinear</w:t>
            </w:r>
          </w:p>
        </w:tc>
        <w:tc>
          <w:tcPr>
            <w:tcW w:w="1200" w:type="dxa"/>
            <w:tcBorders>
              <w:top w:val="nil"/>
              <w:left w:val="nil"/>
              <w:bottom w:val="nil"/>
              <w:right w:val="nil"/>
            </w:tcBorders>
            <w:tcMar>
              <w:top w:w="55" w:type="dxa"/>
              <w:left w:w="70" w:type="dxa"/>
              <w:bottom w:w="55" w:type="dxa"/>
              <w:right w:w="70" w:type="dxa"/>
            </w:tcMar>
            <w:vAlign w:val="center"/>
            <w:hideMark/>
          </w:tcPr>
          <w:p w14:paraId="566A8164" w14:textId="77777777" w:rsidR="00B14FA3" w:rsidRPr="00B14FA3" w:rsidRDefault="00B14FA3" w:rsidP="00B14FA3">
            <w:pPr>
              <w:keepNext/>
              <w:ind w:firstLine="0"/>
              <w:jc w:val="left"/>
            </w:pPr>
            <w:r>
              <w:rPr>
                <w:color w:val="000000"/>
                <w:szCs w:val="21"/>
              </w:rPr>
              <w:t>4656</w:t>
            </w:r>
          </w:p>
        </w:tc>
        <w:tc>
          <w:tcPr>
            <w:tcW w:w="2000" w:type="dxa"/>
            <w:tcBorders>
              <w:top w:val="nil"/>
              <w:left w:val="nil"/>
              <w:bottom w:val="nil"/>
              <w:right w:val="nil"/>
            </w:tcBorders>
            <w:tcMar>
              <w:top w:w="55" w:type="dxa"/>
              <w:left w:w="70" w:type="dxa"/>
              <w:bottom w:w="55" w:type="dxa"/>
              <w:right w:w="70" w:type="dxa"/>
            </w:tcMar>
            <w:vAlign w:val="center"/>
            <w:hideMark/>
          </w:tcPr>
          <w:p w14:paraId="4EF2CCCB" w14:textId="77777777" w:rsidR="00B14FA3" w:rsidRPr="00B14FA3" w:rsidRDefault="00B14FA3" w:rsidP="00B14FA3">
            <w:pPr>
              <w:keepNext/>
              <w:ind w:firstLine="0"/>
              <w:jc w:val="left"/>
            </w:pPr>
            <w:r>
              <w:rPr>
                <w:color w:val="000000"/>
                <w:szCs w:val="21"/>
              </w:rPr>
              <w:t>0.437±0.016</w:t>
            </w:r>
          </w:p>
        </w:tc>
        <w:tc>
          <w:tcPr>
            <w:tcW w:w="2000" w:type="dxa"/>
            <w:tcBorders>
              <w:top w:val="nil"/>
              <w:left w:val="nil"/>
              <w:bottom w:val="nil"/>
              <w:right w:val="nil"/>
            </w:tcBorders>
            <w:tcMar>
              <w:top w:w="55" w:type="dxa"/>
              <w:left w:w="70" w:type="dxa"/>
              <w:bottom w:w="55" w:type="dxa"/>
              <w:right w:w="70" w:type="dxa"/>
            </w:tcMar>
            <w:vAlign w:val="center"/>
            <w:hideMark/>
          </w:tcPr>
          <w:p w14:paraId="53A75E10" w14:textId="77777777" w:rsidR="00B14FA3" w:rsidRPr="00B14FA3" w:rsidRDefault="00B14FA3" w:rsidP="00B14FA3">
            <w:pPr>
              <w:keepNext/>
              <w:ind w:firstLine="0"/>
              <w:jc w:val="left"/>
            </w:pPr>
            <w:r>
              <w:rPr>
                <w:color w:val="000000"/>
                <w:szCs w:val="21"/>
              </w:rPr>
              <w:t>0.371±0.011</w:t>
            </w:r>
          </w:p>
        </w:tc>
      </w:tr>
      <w:tr w:rsidR="00B10182" w14:paraId="66E7B953"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154878CA"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184E9A01" w14:textId="77777777" w:rsidR="00B14FA3" w:rsidRPr="00B14FA3" w:rsidRDefault="00B14FA3" w:rsidP="00B14FA3">
            <w:pPr>
              <w:keepNext/>
              <w:ind w:firstLine="0"/>
              <w:jc w:val="left"/>
            </w:pPr>
            <w:r>
              <w:rPr>
                <w:color w:val="000000"/>
                <w:szCs w:val="21"/>
              </w:rPr>
              <w:t>固定等权多尺度</w:t>
            </w:r>
          </w:p>
        </w:tc>
        <w:tc>
          <w:tcPr>
            <w:tcW w:w="1200" w:type="dxa"/>
            <w:tcBorders>
              <w:top w:val="nil"/>
              <w:left w:val="nil"/>
              <w:bottom w:val="nil"/>
              <w:right w:val="nil"/>
            </w:tcBorders>
            <w:tcMar>
              <w:top w:w="55" w:type="dxa"/>
              <w:left w:w="70" w:type="dxa"/>
              <w:bottom w:w="55" w:type="dxa"/>
              <w:right w:w="70" w:type="dxa"/>
            </w:tcMar>
            <w:vAlign w:val="center"/>
            <w:hideMark/>
          </w:tcPr>
          <w:p w14:paraId="1A76C9D2" w14:textId="77777777" w:rsidR="00B14FA3" w:rsidRPr="00B14FA3" w:rsidRDefault="00B14FA3" w:rsidP="00B14FA3">
            <w:pPr>
              <w:keepNext/>
              <w:ind w:firstLine="0"/>
              <w:jc w:val="left"/>
            </w:pPr>
            <w:r>
              <w:rPr>
                <w:color w:val="000000"/>
                <w:szCs w:val="21"/>
              </w:rPr>
              <w:t>8208</w:t>
            </w:r>
          </w:p>
        </w:tc>
        <w:tc>
          <w:tcPr>
            <w:tcW w:w="2000" w:type="dxa"/>
            <w:tcBorders>
              <w:top w:val="nil"/>
              <w:left w:val="nil"/>
              <w:bottom w:val="nil"/>
              <w:right w:val="nil"/>
            </w:tcBorders>
            <w:tcMar>
              <w:top w:w="55" w:type="dxa"/>
              <w:left w:w="70" w:type="dxa"/>
              <w:bottom w:w="55" w:type="dxa"/>
              <w:right w:w="70" w:type="dxa"/>
            </w:tcMar>
            <w:vAlign w:val="center"/>
            <w:hideMark/>
          </w:tcPr>
          <w:p w14:paraId="5A292C45" w14:textId="77777777" w:rsidR="00B14FA3" w:rsidRPr="00B14FA3" w:rsidRDefault="00B14FA3" w:rsidP="00B14FA3">
            <w:pPr>
              <w:keepNext/>
              <w:ind w:firstLine="0"/>
              <w:jc w:val="left"/>
            </w:pPr>
            <w:r>
              <w:rPr>
                <w:color w:val="000000"/>
                <w:szCs w:val="21"/>
              </w:rPr>
              <w:t>0.447±0.014</w:t>
            </w:r>
          </w:p>
        </w:tc>
        <w:tc>
          <w:tcPr>
            <w:tcW w:w="2000" w:type="dxa"/>
            <w:tcBorders>
              <w:top w:val="nil"/>
              <w:left w:val="nil"/>
              <w:bottom w:val="nil"/>
              <w:right w:val="nil"/>
            </w:tcBorders>
            <w:tcMar>
              <w:top w:w="55" w:type="dxa"/>
              <w:left w:w="70" w:type="dxa"/>
              <w:bottom w:w="55" w:type="dxa"/>
              <w:right w:w="70" w:type="dxa"/>
            </w:tcMar>
            <w:vAlign w:val="center"/>
            <w:hideMark/>
          </w:tcPr>
          <w:p w14:paraId="789428A2" w14:textId="77777777" w:rsidR="00B14FA3" w:rsidRPr="00B14FA3" w:rsidRDefault="00B14FA3" w:rsidP="00B14FA3">
            <w:pPr>
              <w:keepNext/>
              <w:ind w:firstLine="0"/>
              <w:jc w:val="left"/>
            </w:pPr>
            <w:r>
              <w:rPr>
                <w:color w:val="000000"/>
                <w:szCs w:val="21"/>
              </w:rPr>
              <w:t>0.377±0.009</w:t>
            </w:r>
          </w:p>
        </w:tc>
      </w:tr>
      <w:tr w:rsidR="00B10182" w14:paraId="25E1F678"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62BD8356"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1B646072" w14:textId="77777777" w:rsidR="00B14FA3" w:rsidRPr="00B14FA3" w:rsidRDefault="00B14FA3" w:rsidP="00B14FA3">
            <w:pPr>
              <w:keepNext/>
              <w:ind w:firstLine="0"/>
              <w:jc w:val="left"/>
            </w:pPr>
            <w:r>
              <w:rPr>
                <w:color w:val="000000"/>
                <w:szCs w:val="21"/>
              </w:rPr>
              <w:t>本文方法</w:t>
            </w:r>
          </w:p>
        </w:tc>
        <w:tc>
          <w:tcPr>
            <w:tcW w:w="1200" w:type="dxa"/>
            <w:tcBorders>
              <w:top w:val="nil"/>
              <w:left w:val="nil"/>
              <w:bottom w:val="nil"/>
              <w:right w:val="nil"/>
            </w:tcBorders>
            <w:tcMar>
              <w:top w:w="55" w:type="dxa"/>
              <w:left w:w="70" w:type="dxa"/>
              <w:bottom w:w="55" w:type="dxa"/>
              <w:right w:w="70" w:type="dxa"/>
            </w:tcMar>
            <w:vAlign w:val="center"/>
            <w:hideMark/>
          </w:tcPr>
          <w:p w14:paraId="74D4C5F6" w14:textId="77777777" w:rsidR="00B14FA3" w:rsidRPr="00B14FA3" w:rsidRDefault="00B14FA3" w:rsidP="00B14FA3">
            <w:pPr>
              <w:keepNext/>
              <w:ind w:firstLine="0"/>
              <w:jc w:val="left"/>
            </w:pPr>
            <w:r>
              <w:rPr>
                <w:color w:val="000000"/>
                <w:szCs w:val="21"/>
              </w:rPr>
              <w:t>8339</w:t>
            </w:r>
          </w:p>
        </w:tc>
        <w:tc>
          <w:tcPr>
            <w:tcW w:w="2000" w:type="dxa"/>
            <w:tcBorders>
              <w:top w:val="nil"/>
              <w:left w:val="nil"/>
              <w:bottom w:val="nil"/>
              <w:right w:val="nil"/>
            </w:tcBorders>
            <w:tcMar>
              <w:top w:w="55" w:type="dxa"/>
              <w:left w:w="70" w:type="dxa"/>
              <w:bottom w:w="55" w:type="dxa"/>
              <w:right w:w="70" w:type="dxa"/>
            </w:tcMar>
            <w:vAlign w:val="center"/>
            <w:hideMark/>
          </w:tcPr>
          <w:p w14:paraId="21BB5253" w14:textId="77777777" w:rsidR="00B14FA3" w:rsidRPr="00B14FA3" w:rsidRDefault="00B14FA3" w:rsidP="00B14FA3">
            <w:pPr>
              <w:keepNext/>
              <w:ind w:firstLine="0"/>
              <w:jc w:val="left"/>
            </w:pPr>
            <w:r>
              <w:rPr>
                <w:color w:val="000000"/>
                <w:szCs w:val="21"/>
              </w:rPr>
              <w:t>0.426±0.029</w:t>
            </w:r>
          </w:p>
        </w:tc>
        <w:tc>
          <w:tcPr>
            <w:tcW w:w="2000" w:type="dxa"/>
            <w:tcBorders>
              <w:top w:val="nil"/>
              <w:left w:val="nil"/>
              <w:bottom w:val="nil"/>
              <w:right w:val="nil"/>
            </w:tcBorders>
            <w:tcMar>
              <w:top w:w="55" w:type="dxa"/>
              <w:left w:w="70" w:type="dxa"/>
              <w:bottom w:w="55" w:type="dxa"/>
              <w:right w:w="70" w:type="dxa"/>
            </w:tcMar>
            <w:vAlign w:val="center"/>
            <w:hideMark/>
          </w:tcPr>
          <w:p w14:paraId="2A51F99E" w14:textId="77777777" w:rsidR="00B14FA3" w:rsidRPr="00B14FA3" w:rsidRDefault="00B14FA3" w:rsidP="00B14FA3">
            <w:pPr>
              <w:keepNext/>
              <w:ind w:firstLine="0"/>
              <w:jc w:val="left"/>
            </w:pPr>
            <w:r>
              <w:rPr>
                <w:color w:val="000000"/>
                <w:szCs w:val="21"/>
              </w:rPr>
              <w:t>0.366±0.018</w:t>
            </w:r>
          </w:p>
        </w:tc>
      </w:tr>
    </w:tbl>
    <w:p w14:paraId="68B92BCA" w14:textId="77777777" w:rsidR="00B14FA3" w:rsidRPr="00B14FA3" w:rsidRDefault="00B14FA3" w:rsidP="00B14FA3">
      <w:r>
        <w:rPr>
          <w:color w:val="000000"/>
          <w:szCs w:val="21"/>
        </w:rPr>
        <w:t>图5按照相同随机种子对固定等权模型和本文方法进行配对比较，以避免把不同随机初始化之间的自然波动混入模型差异。Abilene的8个随机种子中，本文方法有6次取得更低MSE；GÉANT中有7次取得更低MSE。两个数据集的平均ΔMSE均为正，与表3中的均值结果一致。换言之，自适应权重带来的平均改善并不只由少数单次实验推动，而是在多数共同随机种子下都能观察到同方向变化。</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22D1C830" w14:textId="77777777" w:rsidR="00B14FA3" w:rsidRPr="00B14FA3" w:rsidRDefault="00B14FA3" w:rsidP="00B14FA3">
      <w:pPr>
        <w:keepNext/>
        <w:spacing w:before="60"/>
        <w:ind w:firstLine="0"/>
        <w:jc w:val="center"/>
      </w:pPr>
      <w:r w:rsidRPr="00B14FA3">
        <w:rPr>
          <w:noProof/>
        </w:rPr>
        <w:drawing>
          <wp:inline distT="0" distB="0" distL="0" distR="0" wp14:anchorId="3E6F0209" wp14:editId="369FDCB1">
            <wp:extent cx="5760720" cy="3852073"/>
            <wp:effectExtent l="0" t="0" r="0" b="9525"/>
            <wp:docPr id="20" name="图片 2" descr="已检查的图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已检查的图像"/>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60720" cy="3852073"/>
                    </a:xfrm>
                    <a:prstGeom prst="rect">
                      <a:avLst/>
                    </a:prstGeom>
                    <a:noFill/>
                    <a:ln>
                      <a:noFill/>
                    </a:ln>
                  </pic:spPr>
                </pic:pic>
              </a:graphicData>
            </a:graphic>
          </wp:inline>
        </w:drawing>
      </w:r>
    </w:p>
    <w:p w14:paraId="64F9B12D" w14:textId="77777777" w:rsidR="00B14FA3" w:rsidRPr="00B14FA3" w:rsidRDefault="00B14FA3" w:rsidP="00B14FA3">
      <w:pPr>
        <w:keepLines/>
        <w:spacing w:before="60" w:after="80"/>
        <w:ind w:firstLine="0"/>
        <w:jc w:val="center"/>
      </w:pPr>
      <w:r>
        <w:rPr>
          <w:rFonts w:eastAsia="黑体"/>
          <w:b/>
          <w:sz w:val="18"/>
          <w:szCs w:val="18"/>
        </w:rPr>
        <w:t>图5 固定等权与自适应权重的八随机种子配对MSE及配对差值分布</w:t>
      </w:r>
      <w:r>
        <w:rPr>
          <w:rFonts w:eastAsia="黑体"/>
          <w:b/>
          <w:sz w:val="18"/>
          <w:szCs w:val="18"/>
        </w:rPr>
      </w:r>
      <w:r>
        <w:rPr>
          <w:rFonts w:eastAsia="黑体"/>
          <w:b/>
          <w:sz w:val="18"/>
          <w:szCs w:val="18"/>
        </w:rPr>
      </w:r>
      <w:r>
        <w:rPr>
          <w:rFonts w:eastAsia="黑体"/>
          <w:b/>
          <w:sz w:val="18"/>
          <w:szCs w:val="18"/>
        </w:rPr>
      </w:r>
    </w:p>
    <w:p>
      <w:pPr/>
      <w:r>
        <w:t>从DLinear、固定等权多尺度模型到本文方法，模型结构逐步增加了两个因素：先加入多个时间尺度，再把固定权重替换为样本级权重。表3与图5共同说明，在已经具备多尺度专家的前提下，尺度融合方式仍会影响预测结果。这也是后续分析路由权重分布的原因：如果路由器始终输出接近1/3的权重，那么自适应模块与固定等权模型实际上不会形成明显区别。</w:t>
      </w:r>
    </w:p>
    <w:p w14:paraId="5A0F0016" w14:textId="77777777" w:rsidR="00B14FA3" w:rsidRPr="00B14FA3" w:rsidRDefault="00B14FA3" w:rsidP="00B14FA3">
      <w:pPr>
        <w:keepNext/>
        <w:keepLines/>
        <w:spacing w:before="80" w:after="20"/>
        <w:ind w:firstLine="0"/>
        <w:jc w:val="left"/>
        <w:outlineLvl w:val="1"/>
        <w:rPr>
          <w:rFonts w:eastAsia="黑体"/>
          <w:b/>
          <w:bCs/>
          <w:szCs w:val="32"/>
        </w:rPr>
      </w:pPr>
      <w:r>
        <w:rPr>
          <w:rFonts w:ascii="Arial" w:eastAsia="黑体" w:hAnsi="Arial"/>
          <w:b/>
          <w:bCs/>
          <w:color w:val="000000"/>
          <w:szCs w:val="21"/>
        </w:rPr>
        <w:t>2.5 路由权重分析</w:t>
      </w:r>
      <w:r>
        <w:rPr>
          <w:rFonts w:ascii="Arial" w:eastAsia="黑体" w:hAnsi="Arial"/>
          <w:b/>
          <w:bCs/>
          <w:color w:val="000000"/>
          <w:szCs w:val="21"/>
        </w:rPr>
      </w:r>
    </w:p>
    <w:p w14:paraId="0C8325AF" w14:textId="77777777" w:rsidR="00B14FA3" w:rsidRPr="00B14FA3" w:rsidRDefault="00B14FA3" w:rsidP="00B14FA3">
      <w:r>
        <w:rPr>
          <w:color w:val="000000"/>
          <w:szCs w:val="21"/>
        </w:rPr>
        <w:t>图6统计随机种子42—49下全部测试窗口的尺度权重，用于观察路由网络在测试阶段是否真正形成了不同于固定1/3的尺度分配。固定等权模型在所有样本上都使用同一组权重，而本文方法的权重由每个输入窗口的统计特征计算，因此测试集中的权重分布能够直接反映路由器对3个尺度的总体偏好及其变化范围。</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pPr>
        <w:jc w:val="center"/>
      </w:pPr>
      <w:r>
        <w:drawing>
          <wp:inline xmlns:a="http://schemas.openxmlformats.org/drawingml/2006/main" xmlns:pic="http://schemas.openxmlformats.org/drawingml/2006/picture">
            <wp:extent cx="5760720" cy="2566165"/>
            <wp:docPr id="22" name="Picture 22"/>
            <wp:cNvGraphicFramePr>
              <a:graphicFrameLocks noChangeAspect="1"/>
            </wp:cNvGraphicFramePr>
            <a:graphic>
              <a:graphicData uri="http://schemas.openxmlformats.org/drawingml/2006/picture">
                <pic:pic>
                  <pic:nvPicPr>
                    <pic:cNvPr id="0" name="fig3_router_weight_distribution_color.png"/>
                    <pic:cNvPicPr/>
                  </pic:nvPicPr>
                  <pic:blipFill>
                    <a:blip r:embed="rId13"/>
                    <a:stretch>
                      <a:fillRect/>
                    </a:stretch>
                  </pic:blipFill>
                  <pic:spPr>
                    <a:xfrm>
                      <a:off x="0" y="0"/>
                      <a:ext cx="5760720" cy="2566165"/>
                    </a:xfrm>
                    <a:prstGeom prst="rect"/>
                  </pic:spPr>
                </pic:pic>
              </a:graphicData>
            </a:graphic>
          </wp:inline>
        </w:drawing>
      </w:r>
    </w:p>
    <w:p>
      <w:pPr>
        <w:keepLines/>
        <w:spacing w:before="60" w:after="80"/>
        <w:ind w:firstLine="0"/>
        <w:jc w:val="center"/>
      </w:pPr>
      <w:r>
        <w:rPr>
          <w:rFonts w:eastAsia="黑体"/>
          <w:b/>
          <w:sz w:val="18"/>
          <w:szCs w:val="18"/>
        </w:rPr>
        <w:t>图6 八随机种子下样本级自适应路由权重分布</w:t>
      </w:r>
    </w:p>
    <w:p>
      <w:pPr/>
      <w:r>
        <w:rPr>
          <w:color w:val="000000"/>
          <w:szCs w:val="21"/>
        </w:rPr>
        <w:t>Abilene中α1、α2和α4的平均权重依次为0.257、0.319和0.424；GÉANT中依次为0.283、0.318和0.399。两个数据集都表现为尺度4的平均权重最高，尺度1最低，且三个尺度的平均值明显不同于固定等权的1/3。对于本文设置的24步预测任务，路由器整体上给予较粗尺度更高的权重，说明经过更强时间平滑后的趋势信息在最终融合中占有较大比例；与此同时，尺度1和尺度2仍保留非零权重，表明最终预测并不是只依赖单一粗尺度，而是继续组合不同时间分辨率的信息。</w:t>
      </w:r>
    </w:p>
    <w:p w14:paraId="2B7D35DC" w14:textId="77777777" w:rsidR="00B14FA3" w:rsidRPr="00B14FA3" w:rsidRDefault="00B14FA3" w:rsidP="00B14FA3">
      <w:r>
        <w:rPr>
          <w:color w:val="000000"/>
          <w:szCs w:val="21"/>
        </w:rPr>
        <w:t>综合表2、表3和图3—图6可以形成一条较清晰的实验链。表2和图3回答本文方法与外部轻量基线相比处于什么误差水平；图4补充展示代表性测试窗口中的24步预测轨迹；表3和图5进一步控制专家结构，考察固定等权与样本级权重之间的差异；图6则从模型内部的尺度分配结果说明，路由器在测试样本上确实形成了非等权的融合方式。各部分分别对应总体性能、局部预测形态、核心结构消融和内部权重行为，使实验分析与第1节提出的多尺度专家和样本级路由设计相互对应。</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7D87F862"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3 </w:t>
      </w:r>
      <w:r w:rsidRPr="00B14FA3">
        <w:rPr>
          <w:rFonts w:ascii="Arial" w:eastAsia="黑体" w:hAnsi="Arial"/>
          <w:b/>
          <w:color w:val="000000"/>
          <w:kern w:val="0"/>
          <w:sz w:val="24"/>
          <w:szCs w:val="20"/>
        </w:rPr>
        <w:t>结论</w:t>
      </w:r>
    </w:p>
    <w:p w14:paraId="6450C208" w14:textId="77777777" w:rsidR="00B14FA3" w:rsidRPr="00B14FA3" w:rsidRDefault="00B14FA3" w:rsidP="00B14FA3">
      <w:r>
        <w:rPr>
          <w:color w:val="000000"/>
          <w:szCs w:val="21"/>
        </w:rPr>
        <w:t>本文围绕骨干网络OD流量的多时间尺度变化开展预测。尺度1、2和4分别由DLinear专家处理，轻量路由网络根据输入窗口统计量确定融合权重。Abilene和GÉANT实验中，本文方法相对DLinear、LightTS和固定等权多尺度模型取得了更低的平均预测误差；3个尺度的路由权重也呈现不同分布。路由模块只增加131个参数，在模型规模变化较小的情况下完成多尺度预测结果的样本级融合。</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0930A59F"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eastAsia="黑体"/>
          <w:b/>
          <w:kern w:val="0"/>
          <w:sz w:val="28"/>
          <w:szCs w:val="20"/>
        </w:rPr>
        <w:t>参考文献</w:t>
      </w:r>
    </w:p>
    <w:p w14:paraId="2A4E69C7" w14:textId="77777777" w:rsidR="00B14FA3" w:rsidRPr="00B14FA3" w:rsidRDefault="00B14FA3" w:rsidP="00B14FA3">
      <w:pPr>
        <w:ind w:left="420" w:hanging="420"/>
      </w:pPr>
      <w:bookmarkStart w:id="1" w:name="OLE_LINK4"/>
      <w:r w:rsidRPr="00B14FA3">
        <w:rPr>
          <w:sz w:val="18"/>
        </w:rPr>
        <w:t>[1] LOHRASBINASAB I, KESHAVARZ A, AMIN-NEJAD S, et al. From statistical- to machine learning-based network traffic prediction[J]. Transactions on Emerging Telecommunications Technologies, 2022, 33(4): e4394. DOI: 10.1002/ett.4394.</w:t>
      </w:r>
    </w:p>
    <w:p w14:paraId="1D3CC6CB" w14:textId="77777777" w:rsidR="00B14FA3" w:rsidRPr="00B14FA3" w:rsidRDefault="00B14FA3" w:rsidP="00B14FA3">
      <w:pPr>
        <w:ind w:left="420" w:hanging="420"/>
      </w:pPr>
      <w:r w:rsidRPr="00B14FA3">
        <w:rPr>
          <w:sz w:val="18"/>
        </w:rPr>
        <w:t>[2] QIN L, GU H, WEI W, et al. Spatio-temporal communication network traffic prediction method based on graph neural network[J]. Information Sciences, 2024, 679: 121003. DOI: 10.1016/j.ins.2024.121003.</w:t>
      </w:r>
    </w:p>
    <w:p w14:paraId="3FA328DF" w14:textId="77777777" w:rsidR="00B14FA3" w:rsidRPr="00B14FA3" w:rsidRDefault="00B14FA3" w:rsidP="00B14FA3">
      <w:pPr>
        <w:ind w:left="420" w:hanging="420"/>
      </w:pPr>
      <w:r w:rsidRPr="00B14FA3">
        <w:rPr>
          <w:sz w:val="18"/>
        </w:rPr>
        <w:t>[3] ZHOU J, HAN T, XIAO F, et al. Multiscale network traffic prediction method based on deep echo-state network for Internet of Things[J]. IEEE Internet of Things Journal, 2022, 9(21): 21862-21874. DOI: 10.1109/JIOT.2022.3181807.</w:t>
      </w:r>
    </w:p>
    <w:p w14:paraId="7163C5A8" w14:textId="77777777" w:rsidR="00B14FA3" w:rsidRPr="00B14FA3" w:rsidRDefault="00B14FA3" w:rsidP="00B14FA3">
      <w:pPr>
        <w:ind w:left="420" w:hanging="420"/>
      </w:pPr>
      <w:r w:rsidRPr="00B14FA3">
        <w:rPr>
          <w:sz w:val="18"/>
        </w:rPr>
        <w:t>[4] ZENG A, CHEN M, ZHANG L, et al. Are transformers effective for time series forecasting?[C]//Proceedings of the AAAI Conference on Artificial Intelligence. 2023, 37(9): 11121-11128. DOI: 10.1609/aaai.v37i9.26317.</w:t>
      </w:r>
    </w:p>
    <w:p w14:paraId="1BA2A549" w14:textId="77777777" w:rsidR="00B14FA3" w:rsidRPr="00B14FA3" w:rsidRDefault="00B14FA3" w:rsidP="00B14FA3">
      <w:pPr>
        <w:ind w:left="420" w:hanging="420"/>
      </w:pPr>
      <w:r>
        <w:rPr>
          <w:sz w:val="18"/>
        </w:rPr>
        <w:t>[5] WANG S, WU H, SHI X, et al. TimeMixer: decomposable multiscale mixing for time series forecasting[C]//International Conference on Learning Representations. 2024.</w:t>
      </w:r>
    </w:p>
    <w:p w14:paraId="32B65309" w14:textId="77777777" w:rsidR="00B14FA3" w:rsidRPr="00B14FA3" w:rsidRDefault="00B14FA3" w:rsidP="00B14FA3">
      <w:pPr>
        <w:ind w:left="420" w:hanging="420"/>
      </w:pPr>
      <w:r>
        <w:rPr>
          <w:sz w:val="18"/>
        </w:rPr>
        <w:t>[6] ZHANG T, ZHANG Y, CAO W, et al. Less is more: fast multivariate time series forecasting with light sampling-oriented MLP structures[EB/OL]. (2022-07-04)[2026-09-20]. https://arxiv.org/abs/2207.01186. DOI: 10.48550/arXiv.2207.01186.</w:t>
      </w:r>
    </w:p>
    <w:p w14:paraId="32B65309" w14:textId="77777777" w:rsidR="00B14FA3" w:rsidRPr="00B14FA3" w:rsidRDefault="00B14FA3" w:rsidP="00B14FA3">
      <w:pPr>
        <w:ind w:left="420" w:hanging="420"/>
      </w:pPr>
      <w:r>
        <w:rPr>
          <w:sz w:val="18"/>
        </w:rPr>
        <w:t>[7] KUREŠ M, KOUMAR J, HYNEK K. CESNET TS-Zoo: a library for reproducible analysis of network traffic time series[C]//2025 21st International Conference on Network and Service Management. 2025. DOI: 10.23919/CNSM67658.2025.11297513.</w:t>
      </w:r>
    </w:p>
    <w:p w14:paraId="32B65309" w14:textId="77777777" w:rsidR="00B14FA3" w:rsidRPr="00B14FA3" w:rsidRDefault="00B14FA3" w:rsidP="00B14FA3">
      <w:pPr>
        <w:ind w:left="420" w:hanging="420"/>
      </w:pPr>
      <w:r>
        <w:rPr>
          <w:sz w:val="18"/>
        </w:rPr>
        <w:t>[8] ZHANG Y, ROUGHAN M, DUFFIELD N, et al. Fast accurate computation of large-scale IP traffic matrices from link loads[J]. ACM SIGMETRICS Performance Evaluation Review, 2003, 31(1): 206-217. DOI: 10.1145/885651.781053.</w:t>
      </w:r>
    </w:p>
    <w:p w14:paraId="32B65309" w14:textId="77777777" w:rsidR="00B14FA3" w:rsidRPr="00B14FA3" w:rsidRDefault="00B14FA3" w:rsidP="00B14FA3">
      <w:pPr>
        <w:ind w:left="420" w:hanging="420"/>
      </w:pPr>
      <w:r>
        <w:rPr>
          <w:sz w:val="18"/>
        </w:rPr>
        <w:t>[9] UHLIG S, QUOITIN B, LEPROPRE J, et al. Providing public intradomain traffic matrices to the research community[J]. ACM SIGCOMM Computer Communication Review, 2006, 36(1): 83-86. DOI: 10.1145/1111322.1111341.</w:t>
      </w:r>
    </w:p>
    <w:p w14:paraId="49ABA0AF" w14:textId="77777777" w:rsidR="00B14FA3" w:rsidRPr="00B14FA3" w:rsidRDefault="00B14FA3" w:rsidP="00B14FA3">
      <w:pPr>
        <w:ind w:left="420" w:hanging="420"/>
      </w:pPr>
      <w:r>
        <w:rPr>
          <w:sz w:val="18"/>
        </w:rPr>
        <w:t>[10] 韦烜, 刘志华, 李青, 等. 大型IP网络流量矩阵分析预测的探讨研究[J]. 系统工程与电子技术, 2024, 46(6): 2164-2173. DOI: 10.12305/j.issn.1001-506X.2024.06.35.</w:t>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p>
    <w:p w14:paraId="58403822" w14:textId="77777777" w:rsidR="00B14FA3" w:rsidRPr="00B14FA3" w:rsidRDefault="00B14FA3" w:rsidP="00B14FA3">
      <w:pPr>
        <w:ind w:left="420" w:hanging="420"/>
      </w:pPr>
      <w:r>
        <w:rPr>
          <w:sz w:val="18"/>
        </w:rPr>
        <w:t>[11] 唐文杰, 肖一磊, 孔祥宇, 等. CycleLLH：一种基于周期性整合的新型网络流量预测模型[J]. 计算机学报, 2024, 47(12): 2867-2888. DOI: 10.11897/SP.J.1016.2024.02867.</w:t>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p>
    <w:bookmarkEnd w:id="1"/>
    <w:sectPr w:rsidR="003E35DB" w:rsidRPr="00B14FA3" w:rsidSect="00F23B67">
      <w:headerReference w:type="default" r:id="rId9"/>
      <w:footerReference w:type="first" r:id="rId10"/>
      <w:pgSz w:w="11906" w:h="16838"/>
      <w:pgMar w:top="1757" w:right="1134" w:bottom="1417" w:left="1134" w:header="851" w:footer="992" w:gutter="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22EBF2" w14:textId="77777777" w:rsidR="00E407AF" w:rsidRDefault="00E407AF" w:rsidP="00F23B67">
      <w:r>
        <w:separator/>
      </w:r>
    </w:p>
  </w:endnote>
  <w:endnote w:type="continuationSeparator" w:id="0">
    <w:p w14:paraId="2C78B4FB" w14:textId="77777777" w:rsidR="00E407AF" w:rsidRDefault="00E407AF" w:rsidP="00F23B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1DB3E" w14:textId="77777777" w:rsidR="00F23B67" w:rsidRDefault="00F23B67">
    <w:pPr>
      <w:jc w:val="left"/>
    </w:pPr>
    <w:r>
      <w:rPr>
        <w:sz w:val="16"/>
      </w:rPr>
      <w:t>收稿日期：</w:t>
    </w:r>
    <w:r>
      <w:rPr>
        <w:sz w:val="16"/>
      </w:rPr>
      <w:t>[</w:t>
    </w:r>
    <w:r>
      <w:rPr>
        <w:sz w:val="16"/>
      </w:rPr>
      <w:t>请填写，格式</w:t>
    </w:r>
    <w:r>
      <w:rPr>
        <w:sz w:val="16"/>
      </w:rPr>
      <w:t>YYYY-MM-DD]</w:t>
    </w:r>
  </w:p>
  <w:p w14:paraId="66649098" w14:textId="77777777" w:rsidR="00F23B67" w:rsidRDefault="00F23B67">
    <w:pPr>
      <w:jc w:val="left"/>
    </w:pPr>
    <w:r>
      <w:rPr>
        <w:sz w:val="16"/>
      </w:rPr>
      <w:t>基金项目：</w:t>
    </w:r>
    <w:r>
      <w:rPr>
        <w:sz w:val="16"/>
      </w:rPr>
      <w:t>[</w:t>
    </w:r>
    <w:r>
      <w:rPr>
        <w:sz w:val="16"/>
      </w:rPr>
      <w:t>基金来源</w:t>
    </w:r>
    <w:r>
      <w:rPr>
        <w:sz w:val="16"/>
      </w:rPr>
      <w:t>]</w:t>
    </w:r>
    <w:r>
      <w:rPr>
        <w:sz w:val="16"/>
      </w:rPr>
      <w:t>（</w:t>
    </w:r>
    <w:r>
      <w:rPr>
        <w:sz w:val="16"/>
      </w:rPr>
      <w:t>[</w:t>
    </w:r>
    <w:r>
      <w:rPr>
        <w:sz w:val="16"/>
      </w:rPr>
      <w:t>基金项目编号</w:t>
    </w:r>
    <w:r>
      <w:rPr>
        <w:sz w:val="16"/>
      </w:rPr>
      <w:t>]</w:t>
    </w:r>
    <w:r>
      <w:rPr>
        <w:sz w:val="16"/>
      </w:rPr>
      <w:t>）</w:t>
    </w:r>
  </w:p>
  <w:p w14:paraId="3B0C0477" w14:textId="77777777" w:rsidR="00F23B67" w:rsidRDefault="00F23B67">
    <w:pPr>
      <w:jc w:val="left"/>
    </w:pPr>
    <w:r>
      <w:rPr>
        <w:sz w:val="16"/>
      </w:rPr>
      <w:t>第一作者简介：</w:t>
    </w:r>
    <w:r>
      <w:rPr>
        <w:sz w:val="16"/>
      </w:rPr>
      <w:t>[</w:t>
    </w:r>
    <w:r>
      <w:rPr>
        <w:sz w:val="16"/>
      </w:rPr>
      <w:t>姓名</w:t>
    </w:r>
    <w:r>
      <w:rPr>
        <w:sz w:val="16"/>
      </w:rPr>
      <w:t>]</w:t>
    </w:r>
    <w:r>
      <w:rPr>
        <w:sz w:val="16"/>
      </w:rPr>
      <w:t>（</w:t>
    </w:r>
    <w:r>
      <w:rPr>
        <w:sz w:val="16"/>
      </w:rPr>
      <w:t>[</w:t>
    </w:r>
    <w:r>
      <w:rPr>
        <w:sz w:val="16"/>
      </w:rPr>
      <w:t>出生年</w:t>
    </w:r>
    <w:r>
      <w:rPr>
        <w:sz w:val="16"/>
      </w:rPr>
      <w:t>]—</w:t>
    </w:r>
    <w:r>
      <w:rPr>
        <w:sz w:val="16"/>
      </w:rPr>
      <w:t>），</w:t>
    </w:r>
    <w:r>
      <w:rPr>
        <w:sz w:val="16"/>
      </w:rPr>
      <w:t>[</w:t>
    </w:r>
    <w:r>
      <w:rPr>
        <w:sz w:val="16"/>
      </w:rPr>
      <w:t>性别（民族，汉族可省略）</w:t>
    </w:r>
    <w:r>
      <w:rPr>
        <w:sz w:val="16"/>
      </w:rPr>
      <w:t>]</w:t>
    </w:r>
    <w:r>
      <w:rPr>
        <w:sz w:val="16"/>
      </w:rPr>
      <w:t>，</w:t>
    </w:r>
    <w:r>
      <w:rPr>
        <w:sz w:val="16"/>
      </w:rPr>
      <w:t>[</w:t>
    </w:r>
    <w:r>
      <w:rPr>
        <w:sz w:val="16"/>
      </w:rPr>
      <w:t>职称</w:t>
    </w:r>
    <w:r>
      <w:rPr>
        <w:sz w:val="16"/>
      </w:rPr>
      <w:t>]</w:t>
    </w:r>
    <w:r>
      <w:rPr>
        <w:sz w:val="16"/>
      </w:rPr>
      <w:t>，</w:t>
    </w:r>
    <w:r>
      <w:rPr>
        <w:sz w:val="16"/>
      </w:rPr>
      <w:t>[</w:t>
    </w:r>
    <w:r>
      <w:rPr>
        <w:sz w:val="16"/>
      </w:rPr>
      <w:t>学位（若在读请注明）</w:t>
    </w:r>
    <w:r>
      <w:rPr>
        <w:sz w:val="16"/>
      </w:rPr>
      <w:t>]</w:t>
    </w:r>
    <w:r>
      <w:rPr>
        <w:sz w:val="16"/>
      </w:rPr>
      <w:t>，研究方向：</w:t>
    </w:r>
    <w:r>
      <w:rPr>
        <w:sz w:val="16"/>
      </w:rPr>
      <w:t>[</w:t>
    </w:r>
    <w:r>
      <w:rPr>
        <w:sz w:val="16"/>
      </w:rPr>
      <w:t>方向</w:t>
    </w:r>
    <w:r>
      <w:rPr>
        <w:sz w:val="16"/>
      </w:rPr>
      <w:t>1]</w:t>
    </w:r>
    <w:r>
      <w:rPr>
        <w:sz w:val="16"/>
      </w:rPr>
      <w:t>；</w:t>
    </w:r>
    <w:r>
      <w:rPr>
        <w:sz w:val="16"/>
      </w:rPr>
      <w:t>[</w:t>
    </w:r>
    <w:r>
      <w:rPr>
        <w:sz w:val="16"/>
      </w:rPr>
      <w:t>方向</w:t>
    </w:r>
    <w:r>
      <w:rPr>
        <w:sz w:val="16"/>
      </w:rPr>
      <w:t>2]</w:t>
    </w:r>
    <w:r>
      <w:rPr>
        <w:sz w:val="16"/>
      </w:rPr>
      <w:t>。</w:t>
    </w:r>
  </w:p>
  <w:p w14:paraId="57141CA0" w14:textId="77777777" w:rsidR="00F23B67" w:rsidRDefault="00F23B67">
    <w:pPr>
      <w:jc w:val="left"/>
    </w:pPr>
    <w:r>
      <w:rPr>
        <w:sz w:val="16"/>
      </w:rPr>
      <w:t>通信作者简介：</w:t>
    </w:r>
    <w:r>
      <w:rPr>
        <w:sz w:val="16"/>
      </w:rPr>
      <w:t>[</w:t>
    </w:r>
    <w:r>
      <w:rPr>
        <w:sz w:val="16"/>
      </w:rPr>
      <w:t>姓名</w:t>
    </w:r>
    <w:r>
      <w:rPr>
        <w:sz w:val="16"/>
      </w:rPr>
      <w:t>]</w:t>
    </w:r>
    <w:r>
      <w:rPr>
        <w:sz w:val="16"/>
      </w:rPr>
      <w:t>（</w:t>
    </w:r>
    <w:r>
      <w:rPr>
        <w:sz w:val="16"/>
      </w:rPr>
      <w:t>[</w:t>
    </w:r>
    <w:r>
      <w:rPr>
        <w:sz w:val="16"/>
      </w:rPr>
      <w:t>出生年</w:t>
    </w:r>
    <w:r>
      <w:rPr>
        <w:sz w:val="16"/>
      </w:rPr>
      <w:t>]—</w:t>
    </w:r>
    <w:r>
      <w:rPr>
        <w:sz w:val="16"/>
      </w:rPr>
      <w:t>），</w:t>
    </w:r>
    <w:r>
      <w:rPr>
        <w:sz w:val="16"/>
      </w:rPr>
      <w:t>[</w:t>
    </w:r>
    <w:r>
      <w:rPr>
        <w:sz w:val="16"/>
      </w:rPr>
      <w:t>性别（民族，汉族可省略）</w:t>
    </w:r>
    <w:r>
      <w:rPr>
        <w:sz w:val="16"/>
      </w:rPr>
      <w:t>]</w:t>
    </w:r>
    <w:r>
      <w:rPr>
        <w:sz w:val="16"/>
      </w:rPr>
      <w:t>，</w:t>
    </w:r>
    <w:r>
      <w:rPr>
        <w:sz w:val="16"/>
      </w:rPr>
      <w:t>[</w:t>
    </w:r>
    <w:r>
      <w:rPr>
        <w:sz w:val="16"/>
      </w:rPr>
      <w:t>职称</w:t>
    </w:r>
    <w:r>
      <w:rPr>
        <w:sz w:val="16"/>
      </w:rPr>
      <w:t>]</w:t>
    </w:r>
    <w:r>
      <w:rPr>
        <w:sz w:val="16"/>
      </w:rPr>
      <w:t>，</w:t>
    </w:r>
    <w:r>
      <w:rPr>
        <w:sz w:val="16"/>
      </w:rPr>
      <w:t>[</w:t>
    </w:r>
    <w:r>
      <w:rPr>
        <w:sz w:val="16"/>
      </w:rPr>
      <w:t>学位（若在读请注明）</w:t>
    </w:r>
    <w:r>
      <w:rPr>
        <w:sz w:val="16"/>
      </w:rPr>
      <w:t>]</w:t>
    </w:r>
    <w:r>
      <w:rPr>
        <w:sz w:val="16"/>
      </w:rPr>
      <w:t>，研究方向：</w:t>
    </w:r>
    <w:r>
      <w:rPr>
        <w:sz w:val="16"/>
      </w:rPr>
      <w:t>[</w:t>
    </w:r>
    <w:r>
      <w:rPr>
        <w:sz w:val="16"/>
      </w:rPr>
      <w:t>方向</w:t>
    </w:r>
    <w:r>
      <w:rPr>
        <w:sz w:val="16"/>
      </w:rPr>
      <w:t>1]</w:t>
    </w:r>
    <w:r>
      <w:rPr>
        <w:sz w:val="16"/>
      </w:rPr>
      <w:t>；</w:t>
    </w:r>
    <w:r>
      <w:rPr>
        <w:sz w:val="16"/>
      </w:rPr>
      <w:t>[</w:t>
    </w:r>
    <w:r>
      <w:rPr>
        <w:sz w:val="16"/>
      </w:rPr>
      <w:t>方向</w:t>
    </w:r>
    <w:r>
      <w:rPr>
        <w:sz w:val="16"/>
      </w:rPr>
      <w:t>2]</w:t>
    </w:r>
    <w:r>
      <w:rPr>
        <w:sz w:val="16"/>
      </w:rPr>
      <w:t>，电子邮箱：</w:t>
    </w:r>
    <w:r>
      <w:rPr>
        <w:sz w:val="16"/>
      </w:rPr>
      <w:t>[</w:t>
    </w:r>
    <w:r>
      <w:rPr>
        <w:sz w:val="16"/>
      </w:rPr>
      <w:t>邮箱</w:t>
    </w:r>
    <w:r>
      <w:rPr>
        <w:sz w:val="16"/>
      </w:rPr>
      <w:t>]</w:t>
    </w:r>
    <w:r>
      <w:rPr>
        <w:sz w:val="16"/>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6A2D67" w14:textId="77777777" w:rsidR="00E407AF" w:rsidRDefault="00E407AF" w:rsidP="00F23B67">
      <w:r>
        <w:separator/>
      </w:r>
    </w:p>
  </w:footnote>
  <w:footnote w:type="continuationSeparator" w:id="0">
    <w:p w14:paraId="5084105F" w14:textId="77777777" w:rsidR="00E407AF" w:rsidRDefault="00E407AF" w:rsidP="00F23B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AF2B7" w14:textId="77777777" w:rsidR="00F23B67" w:rsidRDefault="00F23B67">
    <w:pPr>
      <w:pStyle w:val="ae"/>
      <w:rPr>
        <w:rFonts w:hint="eastAsi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DC0"/>
    <w:rsid w:val="000376E3"/>
    <w:rsid w:val="00135816"/>
    <w:rsid w:val="00245F58"/>
    <w:rsid w:val="003341C1"/>
    <w:rsid w:val="0034143A"/>
    <w:rsid w:val="003B1B14"/>
    <w:rsid w:val="003E35DB"/>
    <w:rsid w:val="005032D3"/>
    <w:rsid w:val="006309B6"/>
    <w:rsid w:val="00662C25"/>
    <w:rsid w:val="00790E2F"/>
    <w:rsid w:val="009A3654"/>
    <w:rsid w:val="00B10182"/>
    <w:rsid w:val="00B14FA3"/>
    <w:rsid w:val="00B15C9D"/>
    <w:rsid w:val="00D21814"/>
    <w:rsid w:val="00D32DC3"/>
    <w:rsid w:val="00D53327"/>
    <w:rsid w:val="00D537D7"/>
    <w:rsid w:val="00DD4A44"/>
    <w:rsid w:val="00E407AF"/>
    <w:rsid w:val="00EE5DC0"/>
    <w:rsid w:val="00F071B1"/>
    <w:rsid w:val="00F23B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AA87B8"/>
  <w15:chartTrackingRefBased/>
  <w15:docId w15:val="{FA7D5525-0EA2-4C2A-B76F-620764768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23B67"/>
    <w:pPr>
      <w:widowControl w:val="0"/>
      <w:spacing w:after="0" w:line="240" w:lineRule="auto"/>
      <w:ind w:firstLine="420"/>
      <w:jc w:val="both"/>
    </w:pPr>
    <w:rPr>
      <w:rFonts w:ascii="Times New Roman" w:eastAsia="宋体" w:hAnsi="Times New Roman" w:cs="Times New Roman"/>
      <w:sz w:val="21"/>
      <w14:ligatures w14:val="none"/>
    </w:rPr>
  </w:style>
  <w:style w:type="paragraph" w:styleId="1">
    <w:name w:val="heading 1"/>
    <w:basedOn w:val="a"/>
    <w:next w:val="a"/>
    <w:link w:val="10"/>
    <w:uiPriority w:val="9"/>
    <w:qFormat/>
    <w:rsid w:val="00EE5DC0"/>
    <w:pPr>
      <w:keepNext/>
      <w:keepLines/>
      <w:spacing w:before="480" w:after="80" w:line="278" w:lineRule="auto"/>
      <w:ind w:firstLine="0"/>
      <w:jc w:val="left"/>
      <w:outlineLvl w:val="0"/>
    </w:pPr>
    <w:rPr>
      <w:rFonts w:asciiTheme="majorHAnsi" w:eastAsiaTheme="majorEastAsia" w:hAnsiTheme="majorHAnsi" w:cstheme="majorBidi"/>
      <w:color w:val="2F5496" w:themeColor="accent1" w:themeShade="BF"/>
      <w:sz w:val="48"/>
      <w:szCs w:val="48"/>
      <w14:ligatures w14:val="standardContextual"/>
    </w:rPr>
  </w:style>
  <w:style w:type="paragraph" w:styleId="2">
    <w:name w:val="heading 2"/>
    <w:basedOn w:val="a"/>
    <w:next w:val="a"/>
    <w:link w:val="20"/>
    <w:unhideWhenUsed/>
    <w:qFormat/>
    <w:rsid w:val="00EE5DC0"/>
    <w:pPr>
      <w:keepNext/>
      <w:keepLines/>
      <w:spacing w:before="160" w:after="80" w:line="278" w:lineRule="auto"/>
      <w:ind w:firstLine="0"/>
      <w:jc w:val="left"/>
      <w:outlineLvl w:val="1"/>
    </w:pPr>
    <w:rPr>
      <w:rFonts w:asciiTheme="majorHAnsi" w:eastAsiaTheme="majorEastAsia" w:hAnsiTheme="majorHAnsi" w:cstheme="majorBidi"/>
      <w:color w:val="2F5496" w:themeColor="accent1" w:themeShade="BF"/>
      <w:sz w:val="40"/>
      <w:szCs w:val="40"/>
      <w14:ligatures w14:val="standardContextual"/>
    </w:rPr>
  </w:style>
  <w:style w:type="paragraph" w:styleId="3">
    <w:name w:val="heading 3"/>
    <w:basedOn w:val="a"/>
    <w:next w:val="a"/>
    <w:link w:val="30"/>
    <w:uiPriority w:val="9"/>
    <w:semiHidden/>
    <w:unhideWhenUsed/>
    <w:qFormat/>
    <w:rsid w:val="00EE5DC0"/>
    <w:pPr>
      <w:keepNext/>
      <w:keepLines/>
      <w:spacing w:before="160" w:after="80" w:line="278" w:lineRule="auto"/>
      <w:ind w:firstLine="0"/>
      <w:jc w:val="left"/>
      <w:outlineLvl w:val="2"/>
    </w:pPr>
    <w:rPr>
      <w:rFonts w:asciiTheme="majorHAnsi" w:eastAsiaTheme="majorEastAsia" w:hAnsiTheme="majorHAnsi" w:cstheme="majorBidi"/>
      <w:color w:val="2F5496" w:themeColor="accent1" w:themeShade="BF"/>
      <w:sz w:val="32"/>
      <w:szCs w:val="32"/>
      <w14:ligatures w14:val="standardContextual"/>
    </w:rPr>
  </w:style>
  <w:style w:type="paragraph" w:styleId="4">
    <w:name w:val="heading 4"/>
    <w:basedOn w:val="a"/>
    <w:next w:val="a"/>
    <w:link w:val="40"/>
    <w:uiPriority w:val="9"/>
    <w:semiHidden/>
    <w:unhideWhenUsed/>
    <w:qFormat/>
    <w:rsid w:val="00EE5DC0"/>
    <w:pPr>
      <w:keepNext/>
      <w:keepLines/>
      <w:spacing w:before="80" w:after="40" w:line="278" w:lineRule="auto"/>
      <w:ind w:firstLine="0"/>
      <w:jc w:val="left"/>
      <w:outlineLvl w:val="3"/>
    </w:pPr>
    <w:rPr>
      <w:rFonts w:asciiTheme="minorHAnsi" w:eastAsiaTheme="minorEastAsia" w:hAnsiTheme="minorHAnsi" w:cstheme="majorBidi"/>
      <w:color w:val="2F5496" w:themeColor="accent1" w:themeShade="BF"/>
      <w:sz w:val="28"/>
      <w:szCs w:val="28"/>
      <w14:ligatures w14:val="standardContextual"/>
    </w:rPr>
  </w:style>
  <w:style w:type="paragraph" w:styleId="5">
    <w:name w:val="heading 5"/>
    <w:basedOn w:val="a"/>
    <w:next w:val="a"/>
    <w:link w:val="50"/>
    <w:uiPriority w:val="9"/>
    <w:semiHidden/>
    <w:unhideWhenUsed/>
    <w:qFormat/>
    <w:rsid w:val="00EE5DC0"/>
    <w:pPr>
      <w:keepNext/>
      <w:keepLines/>
      <w:spacing w:before="80" w:after="40" w:line="278" w:lineRule="auto"/>
      <w:ind w:firstLine="0"/>
      <w:jc w:val="left"/>
      <w:outlineLvl w:val="4"/>
    </w:pPr>
    <w:rPr>
      <w:rFonts w:asciiTheme="minorHAnsi" w:eastAsiaTheme="minorEastAsia" w:hAnsiTheme="minorHAnsi" w:cstheme="majorBidi"/>
      <w:color w:val="2F5496" w:themeColor="accent1" w:themeShade="BF"/>
      <w:sz w:val="24"/>
      <w14:ligatures w14:val="standardContextual"/>
    </w:rPr>
  </w:style>
  <w:style w:type="paragraph" w:styleId="6">
    <w:name w:val="heading 6"/>
    <w:basedOn w:val="a"/>
    <w:next w:val="a"/>
    <w:link w:val="60"/>
    <w:uiPriority w:val="9"/>
    <w:semiHidden/>
    <w:unhideWhenUsed/>
    <w:qFormat/>
    <w:rsid w:val="00EE5DC0"/>
    <w:pPr>
      <w:keepNext/>
      <w:keepLines/>
      <w:spacing w:before="40" w:line="278" w:lineRule="auto"/>
      <w:ind w:firstLine="0"/>
      <w:jc w:val="left"/>
      <w:outlineLvl w:val="5"/>
    </w:pPr>
    <w:rPr>
      <w:rFonts w:asciiTheme="minorHAnsi" w:eastAsiaTheme="minorEastAsia" w:hAnsiTheme="minorHAnsi" w:cstheme="majorBidi"/>
      <w:b/>
      <w:bCs/>
      <w:color w:val="2F5496" w:themeColor="accent1" w:themeShade="BF"/>
      <w:sz w:val="22"/>
      <w14:ligatures w14:val="standardContextual"/>
    </w:rPr>
  </w:style>
  <w:style w:type="paragraph" w:styleId="7">
    <w:name w:val="heading 7"/>
    <w:basedOn w:val="a"/>
    <w:next w:val="a"/>
    <w:link w:val="70"/>
    <w:uiPriority w:val="9"/>
    <w:semiHidden/>
    <w:unhideWhenUsed/>
    <w:qFormat/>
    <w:rsid w:val="00EE5DC0"/>
    <w:pPr>
      <w:keepNext/>
      <w:keepLines/>
      <w:spacing w:before="40" w:line="278" w:lineRule="auto"/>
      <w:ind w:firstLine="0"/>
      <w:jc w:val="left"/>
      <w:outlineLvl w:val="6"/>
    </w:pPr>
    <w:rPr>
      <w:rFonts w:asciiTheme="minorHAnsi" w:eastAsiaTheme="minorEastAsia" w:hAnsiTheme="minorHAnsi" w:cstheme="majorBidi"/>
      <w:b/>
      <w:bCs/>
      <w:color w:val="595959" w:themeColor="text1" w:themeTint="A6"/>
      <w:sz w:val="22"/>
      <w14:ligatures w14:val="standardContextual"/>
    </w:rPr>
  </w:style>
  <w:style w:type="paragraph" w:styleId="8">
    <w:name w:val="heading 8"/>
    <w:basedOn w:val="a"/>
    <w:next w:val="a"/>
    <w:link w:val="80"/>
    <w:uiPriority w:val="9"/>
    <w:semiHidden/>
    <w:unhideWhenUsed/>
    <w:qFormat/>
    <w:rsid w:val="00EE5DC0"/>
    <w:pPr>
      <w:keepNext/>
      <w:keepLines/>
      <w:spacing w:line="278" w:lineRule="auto"/>
      <w:ind w:firstLine="0"/>
      <w:jc w:val="left"/>
      <w:outlineLvl w:val="7"/>
    </w:pPr>
    <w:rPr>
      <w:rFonts w:asciiTheme="minorHAnsi" w:eastAsiaTheme="minorEastAsia" w:hAnsiTheme="minorHAnsi" w:cstheme="majorBidi"/>
      <w:color w:val="595959" w:themeColor="text1" w:themeTint="A6"/>
      <w:sz w:val="22"/>
      <w14:ligatures w14:val="standardContextual"/>
    </w:rPr>
  </w:style>
  <w:style w:type="paragraph" w:styleId="9">
    <w:name w:val="heading 9"/>
    <w:basedOn w:val="a"/>
    <w:next w:val="a"/>
    <w:link w:val="90"/>
    <w:uiPriority w:val="9"/>
    <w:semiHidden/>
    <w:unhideWhenUsed/>
    <w:qFormat/>
    <w:rsid w:val="00EE5DC0"/>
    <w:pPr>
      <w:keepNext/>
      <w:keepLines/>
      <w:spacing w:line="278" w:lineRule="auto"/>
      <w:ind w:firstLine="0"/>
      <w:jc w:val="left"/>
      <w:outlineLvl w:val="8"/>
    </w:pPr>
    <w:rPr>
      <w:rFonts w:asciiTheme="minorHAnsi" w:eastAsiaTheme="majorEastAsia" w:hAnsiTheme="minorHAnsi" w:cstheme="majorBidi"/>
      <w:color w:val="595959" w:themeColor="text1" w:themeTint="A6"/>
      <w:sz w:val="22"/>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E5DC0"/>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rsid w:val="00EE5DC0"/>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EE5DC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EE5DC0"/>
    <w:rPr>
      <w:rFonts w:cstheme="majorBidi"/>
      <w:color w:val="2F5496" w:themeColor="accent1" w:themeShade="BF"/>
      <w:sz w:val="28"/>
      <w:szCs w:val="28"/>
    </w:rPr>
  </w:style>
  <w:style w:type="character" w:customStyle="1" w:styleId="50">
    <w:name w:val="标题 5 字符"/>
    <w:basedOn w:val="a0"/>
    <w:link w:val="5"/>
    <w:uiPriority w:val="9"/>
    <w:semiHidden/>
    <w:rsid w:val="00EE5DC0"/>
    <w:rPr>
      <w:rFonts w:cstheme="majorBidi"/>
      <w:color w:val="2F5496" w:themeColor="accent1" w:themeShade="BF"/>
      <w:sz w:val="24"/>
    </w:rPr>
  </w:style>
  <w:style w:type="character" w:customStyle="1" w:styleId="60">
    <w:name w:val="标题 6 字符"/>
    <w:basedOn w:val="a0"/>
    <w:link w:val="6"/>
    <w:uiPriority w:val="9"/>
    <w:semiHidden/>
    <w:rsid w:val="00EE5DC0"/>
    <w:rPr>
      <w:rFonts w:cstheme="majorBidi"/>
      <w:b/>
      <w:bCs/>
      <w:color w:val="2F5496" w:themeColor="accent1" w:themeShade="BF"/>
    </w:rPr>
  </w:style>
  <w:style w:type="character" w:customStyle="1" w:styleId="70">
    <w:name w:val="标题 7 字符"/>
    <w:basedOn w:val="a0"/>
    <w:link w:val="7"/>
    <w:uiPriority w:val="9"/>
    <w:semiHidden/>
    <w:rsid w:val="00EE5DC0"/>
    <w:rPr>
      <w:rFonts w:cstheme="majorBidi"/>
      <w:b/>
      <w:bCs/>
      <w:color w:val="595959" w:themeColor="text1" w:themeTint="A6"/>
    </w:rPr>
  </w:style>
  <w:style w:type="character" w:customStyle="1" w:styleId="80">
    <w:name w:val="标题 8 字符"/>
    <w:basedOn w:val="a0"/>
    <w:link w:val="8"/>
    <w:uiPriority w:val="9"/>
    <w:semiHidden/>
    <w:rsid w:val="00EE5DC0"/>
    <w:rPr>
      <w:rFonts w:cstheme="majorBidi"/>
      <w:color w:val="595959" w:themeColor="text1" w:themeTint="A6"/>
    </w:rPr>
  </w:style>
  <w:style w:type="character" w:customStyle="1" w:styleId="90">
    <w:name w:val="标题 9 字符"/>
    <w:basedOn w:val="a0"/>
    <w:link w:val="9"/>
    <w:uiPriority w:val="9"/>
    <w:semiHidden/>
    <w:rsid w:val="00EE5DC0"/>
    <w:rPr>
      <w:rFonts w:eastAsiaTheme="majorEastAsia" w:cstheme="majorBidi"/>
      <w:color w:val="595959" w:themeColor="text1" w:themeTint="A6"/>
    </w:rPr>
  </w:style>
  <w:style w:type="paragraph" w:styleId="a3">
    <w:name w:val="Title"/>
    <w:basedOn w:val="a"/>
    <w:next w:val="a"/>
    <w:link w:val="a4"/>
    <w:uiPriority w:val="10"/>
    <w:qFormat/>
    <w:rsid w:val="00EE5DC0"/>
    <w:pPr>
      <w:spacing w:after="80"/>
      <w:ind w:firstLine="0"/>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a4">
    <w:name w:val="标题 字符"/>
    <w:basedOn w:val="a0"/>
    <w:link w:val="a3"/>
    <w:uiPriority w:val="10"/>
    <w:rsid w:val="00EE5DC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E5DC0"/>
    <w:pPr>
      <w:numPr>
        <w:ilvl w:val="1"/>
      </w:numPr>
      <w:spacing w:after="160" w:line="278" w:lineRule="auto"/>
      <w:ind w:firstLine="420"/>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a6">
    <w:name w:val="副标题 字符"/>
    <w:basedOn w:val="a0"/>
    <w:link w:val="a5"/>
    <w:uiPriority w:val="11"/>
    <w:rsid w:val="00EE5DC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E5DC0"/>
    <w:pPr>
      <w:spacing w:before="160" w:after="160" w:line="278" w:lineRule="auto"/>
      <w:ind w:firstLine="0"/>
      <w:jc w:val="center"/>
    </w:pPr>
    <w:rPr>
      <w:rFonts w:asciiTheme="minorHAnsi" w:eastAsiaTheme="minorEastAsia" w:hAnsiTheme="minorHAnsi" w:cstheme="minorBidi"/>
      <w:i/>
      <w:iCs/>
      <w:color w:val="404040" w:themeColor="text1" w:themeTint="BF"/>
      <w:sz w:val="22"/>
      <w14:ligatures w14:val="standardContextual"/>
    </w:rPr>
  </w:style>
  <w:style w:type="character" w:customStyle="1" w:styleId="a8">
    <w:name w:val="引用 字符"/>
    <w:basedOn w:val="a0"/>
    <w:link w:val="a7"/>
    <w:uiPriority w:val="29"/>
    <w:rsid w:val="00EE5DC0"/>
    <w:rPr>
      <w:i/>
      <w:iCs/>
      <w:color w:val="404040" w:themeColor="text1" w:themeTint="BF"/>
    </w:rPr>
  </w:style>
  <w:style w:type="paragraph" w:styleId="a9">
    <w:name w:val="List Paragraph"/>
    <w:basedOn w:val="a"/>
    <w:uiPriority w:val="34"/>
    <w:qFormat/>
    <w:rsid w:val="00EE5DC0"/>
    <w:pPr>
      <w:spacing w:after="160" w:line="278" w:lineRule="auto"/>
      <w:ind w:left="720" w:firstLine="0"/>
      <w:contextualSpacing/>
      <w:jc w:val="left"/>
    </w:pPr>
    <w:rPr>
      <w:rFonts w:asciiTheme="minorHAnsi" w:eastAsiaTheme="minorEastAsia" w:hAnsiTheme="minorHAnsi" w:cstheme="minorBidi"/>
      <w:sz w:val="22"/>
      <w14:ligatures w14:val="standardContextual"/>
    </w:rPr>
  </w:style>
  <w:style w:type="character" w:styleId="aa">
    <w:name w:val="Intense Emphasis"/>
    <w:basedOn w:val="a0"/>
    <w:uiPriority w:val="21"/>
    <w:qFormat/>
    <w:rsid w:val="00EE5DC0"/>
    <w:rPr>
      <w:i/>
      <w:iCs/>
      <w:color w:val="2F5496" w:themeColor="accent1" w:themeShade="BF"/>
    </w:rPr>
  </w:style>
  <w:style w:type="paragraph" w:styleId="ab">
    <w:name w:val="Intense Quote"/>
    <w:basedOn w:val="a"/>
    <w:next w:val="a"/>
    <w:link w:val="ac"/>
    <w:uiPriority w:val="30"/>
    <w:qFormat/>
    <w:rsid w:val="00EE5DC0"/>
    <w:pPr>
      <w:pBdr>
        <w:top w:val="single" w:sz="4" w:space="10" w:color="2F5496" w:themeColor="accent1" w:themeShade="BF"/>
        <w:bottom w:val="single" w:sz="4" w:space="10" w:color="2F5496" w:themeColor="accent1" w:themeShade="BF"/>
      </w:pBdr>
      <w:spacing w:before="360" w:after="360" w:line="278" w:lineRule="auto"/>
      <w:ind w:left="864" w:right="864" w:firstLine="0"/>
      <w:jc w:val="center"/>
    </w:pPr>
    <w:rPr>
      <w:rFonts w:asciiTheme="minorHAnsi" w:eastAsiaTheme="minorEastAsia" w:hAnsiTheme="minorHAnsi" w:cstheme="minorBidi"/>
      <w:i/>
      <w:iCs/>
      <w:color w:val="2F5496" w:themeColor="accent1" w:themeShade="BF"/>
      <w:sz w:val="22"/>
      <w14:ligatures w14:val="standardContextual"/>
    </w:rPr>
  </w:style>
  <w:style w:type="character" w:customStyle="1" w:styleId="ac">
    <w:name w:val="明显引用 字符"/>
    <w:basedOn w:val="a0"/>
    <w:link w:val="ab"/>
    <w:uiPriority w:val="30"/>
    <w:rsid w:val="00EE5DC0"/>
    <w:rPr>
      <w:i/>
      <w:iCs/>
      <w:color w:val="2F5496" w:themeColor="accent1" w:themeShade="BF"/>
    </w:rPr>
  </w:style>
  <w:style w:type="character" w:styleId="ad">
    <w:name w:val="Intense Reference"/>
    <w:basedOn w:val="a0"/>
    <w:uiPriority w:val="32"/>
    <w:qFormat/>
    <w:rsid w:val="00EE5DC0"/>
    <w:rPr>
      <w:b/>
      <w:bCs/>
      <w:smallCaps/>
      <w:color w:val="2F5496" w:themeColor="accent1" w:themeShade="BF"/>
      <w:spacing w:val="5"/>
    </w:rPr>
  </w:style>
  <w:style w:type="paragraph" w:styleId="ae">
    <w:name w:val="header"/>
    <w:basedOn w:val="a"/>
    <w:link w:val="af"/>
    <w:unhideWhenUsed/>
    <w:rsid w:val="00F23B67"/>
    <w:pPr>
      <w:tabs>
        <w:tab w:val="center" w:pos="4153"/>
        <w:tab w:val="right" w:pos="8306"/>
      </w:tabs>
      <w:snapToGrid w:val="0"/>
      <w:spacing w:after="160"/>
      <w:ind w:firstLine="0"/>
      <w:jc w:val="center"/>
    </w:pPr>
    <w:rPr>
      <w:rFonts w:asciiTheme="minorHAnsi" w:eastAsiaTheme="minorEastAsia" w:hAnsiTheme="minorHAnsi" w:cstheme="minorBidi"/>
      <w:sz w:val="18"/>
      <w:szCs w:val="18"/>
      <w14:ligatures w14:val="standardContextual"/>
    </w:rPr>
  </w:style>
  <w:style w:type="character" w:customStyle="1" w:styleId="af">
    <w:name w:val="页眉 字符"/>
    <w:basedOn w:val="a0"/>
    <w:link w:val="ae"/>
    <w:rsid w:val="00F23B67"/>
    <w:rPr>
      <w:sz w:val="18"/>
      <w:szCs w:val="18"/>
    </w:rPr>
  </w:style>
  <w:style w:type="paragraph" w:styleId="af0">
    <w:name w:val="footer"/>
    <w:basedOn w:val="a"/>
    <w:link w:val="af1"/>
    <w:uiPriority w:val="99"/>
    <w:unhideWhenUsed/>
    <w:rsid w:val="00F23B67"/>
    <w:pPr>
      <w:tabs>
        <w:tab w:val="center" w:pos="4153"/>
        <w:tab w:val="right" w:pos="8306"/>
      </w:tabs>
      <w:snapToGrid w:val="0"/>
      <w:spacing w:after="160"/>
      <w:ind w:firstLine="0"/>
      <w:jc w:val="left"/>
    </w:pPr>
    <w:rPr>
      <w:rFonts w:asciiTheme="minorHAnsi" w:eastAsiaTheme="minorEastAsia" w:hAnsiTheme="minorHAnsi" w:cstheme="minorBidi"/>
      <w:sz w:val="18"/>
      <w:szCs w:val="18"/>
      <w14:ligatures w14:val="standardContextual"/>
    </w:rPr>
  </w:style>
  <w:style w:type="character" w:customStyle="1" w:styleId="af1">
    <w:name w:val="页脚 字符"/>
    <w:basedOn w:val="a0"/>
    <w:link w:val="af0"/>
    <w:uiPriority w:val="99"/>
    <w:rsid w:val="00F23B67"/>
    <w:rPr>
      <w:sz w:val="18"/>
      <w:szCs w:val="18"/>
    </w:rPr>
  </w:style>
  <w:style w:type="paragraph" w:customStyle="1" w:styleId="11">
    <w:name w:val="标题 11"/>
    <w:rsid w:val="00F23B67"/>
    <w:pPr>
      <w:keepNext/>
      <w:spacing w:before="120" w:after="40" w:line="240" w:lineRule="auto"/>
    </w:pPr>
    <w:rPr>
      <w:rFonts w:ascii="Times New Roman" w:eastAsia="黑体" w:hAnsi="Times New Roman" w:cs="Times New Roman"/>
      <w:b/>
      <w:kern w:val="0"/>
      <w:sz w:val="28"/>
      <w:szCs w:val="20"/>
      <w14:ligatures w14:val="none"/>
    </w:rPr>
  </w:style>
  <w:style w:type="paragraph" w:customStyle="1" w:styleId="Equation">
    <w:name w:val="Equation"/>
    <w:rsid w:val="00F23B67"/>
    <w:pPr>
      <w:keepLines/>
      <w:spacing w:before="40" w:after="40" w:line="240" w:lineRule="auto"/>
    </w:pPr>
    <w:rPr>
      <w:rFonts w:ascii="Cambria Math" w:eastAsia="Cambria Math" w:hAnsi="Cambria Math" w:cs="Times New Roman"/>
      <w:kern w:val="0"/>
      <w:sz w:val="21"/>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header" Target="header1.xml"/><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481</TotalTime>
  <Pages>4</Pages>
  <Words>1601</Words>
  <Characters>9127</Characters>
  <Application>Microsoft Office Word</Application>
  <DocSecurity>0</DocSecurity>
  <Lines>76</Lines>
  <Paragraphs>21</Paragraphs>
  <ScaleCrop>false</ScaleCrop>
  <Company/>
  <LinksUpToDate>false</LinksUpToDate>
  <CharactersWithSpaces>10707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Alice Wonderland</dc:creator>
  <cp:keywords/>
  <dc:description/>
  <cp:lastModifiedBy>Alice Wonderland</cp:lastModifiedBy>
  <cp:revision>1</cp:revision>
  <dcterms:created xsi:type="dcterms:W3CDTF">2026-09-15T14:23:00Z</dcterms:created>
  <dcterms:modified xsi:type="dcterms:W3CDTF">2026-09-20T12:33:00Z</dcterms:modified>
</cp:coreProperties>
</file>