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据此，本文将三个独立DLinear专家与四维窗口统计特征驱动的尺度路由相结合，构建自适应多尺度加权预测模型。时间聚合形成多分辨率输入，各专家在OD变量间共享时间映射，使参数量不随变量数增加；路由网络仅含131个参数，根据窗口状态分配尺度权重。在Abilene和GÉANT上以96 h输入开展24 h预测、融合消融与高需求点分析，并在GÉANT上开展168 h预测，评价预测误差与参数规模。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为聚合窗口内的时间索引。各尺度覆盖同一96 h历史，分别以1 h输入值、2 h均值和4 h均值构成96、48和24步序列。各尺度使用结构相同、参数独立的DLinear专家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反映标准化窗口相对训练期均值的整体偏移，标准差概括时间与变量两个维度的离散程度；末时刻均值表征窗口末端状态，平均绝对一阶差分反映相邻小时的变化幅度。由此，路由网络以四维输入汇总窗口状态，尺度分数计算为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100"/>
        <w:gridCol w:w="2100"/>
        <w:gridCol w:w="2100"/>
        <w:gridCol w:w="1410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100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100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100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  <w:tc>
          <w:tcPr>
            <w:tcW w:type="dxa" w:w="1410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参数量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4656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130162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8339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4656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10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  <w:tc>
          <w:tcPr>
            <w:tcW w:type="dxa" w:w="1410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384382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100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100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100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  <w:tc>
          <w:tcPr>
            <w:tcW w:type="dxa" w:w="1410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8339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表2中，本文方法在两套数据上的平均MSE与MAE均最优。相对LightTS，Abilene和GÉANT的MSE平均降低25.77%和43.74%，MAE降低12.66%和29.09%；参数量分别减少93.59%和97.83%。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相对DLinear与LightTS的配对误差降幅（8次重复）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图2中，点为单次配对结果，菱形及横线为均值与样本标准差；下方为相对LightTS的参数比例。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各项平均误差均最优。相对DLinear，两套数据的MSE平均降低2.77%和2.35%；相对全局权重，降低1.80%和4.31%。Abilene的MAE较二者降低8.01%和8.91%。GÉANT上，仅本文方法的平均MSE低于DLinear；恒定输入路由保留相同结构和参数量，其误差仍较高，支持窗口统计量驱动的融合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 xmlns:w="http://schemas.openxmlformats.org/wordprocessingml/2006/main"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以标准化训练集各OD变量的第90百分位为阈值</w:t>
      </w:r>
      <ns0:oMath xmlns:ns0="http://schemas.openxmlformats.org/officeDocument/2006/math">
        <ns0:sSub>
          <ns0:sSubPr>
            <ns0:ctrlPr>
              <w:rPr>
                <w:rFonts w:ascii="Cambria Math" w:hAnsi="Cambria Math"/>
              </w:rPr>
            </ns0:ctrlPr>
          </ns0:sSubPr>
          <ns0:e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τ</ns0:t>
            </ns0:r>
          </ns0:e>
          <ns0:sub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c</ns0:t>
            </ns0:r>
          </ns0:sub>
        </ns0:sSub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，定义测试集高需求点集</w:t>
      </w:r>
      <ns0:oMath xmlns:ns0="http://schemas.openxmlformats.org/officeDocument/2006/math">
        <ns0:r>
          <ns0:rPr>
            <ns0:sty ns0:val="i"/>
          </ns0:rPr>
          <w:rPr>
            <w:rFonts w:ascii="Times New Roman" w:hAnsi="Times New Roman" w:cs="Times New Roman"/>
            <w:sz w:val="21"/>
            <w:szCs w:val="21"/>
          </w:rPr>
          <ns0:t>Ω</ns0:t>
        </ns0:r>
        <ns0:r>
          <ns0:rPr>
            <ns0:sty ns0:val="p"/>
          </ns0:rPr>
          <w:rPr>
            <w:rFonts w:ascii="Times New Roman" w:hAnsi="Times New Roman" w:cs="Times New Roman"/>
            <w:sz w:val="21"/>
            <w:szCs w:val="21"/>
          </w:rPr>
          <ns0:t>=</ns0:t>
        </ns0:r>
        <ns0:d>
          <ns0:dPr>
            <ns0:begChr ns0:val="{"/>
            <ns0:endChr ns0:val="}"/>
            <ns0:grow ns0:val="1"/>
            <ns0:ctrlPr>
              <w:rPr>
                <w:rFonts w:ascii="Cambria Math" w:hAnsi="Cambria Math"/>
              </w:rPr>
            </ns0:ctrlPr>
          </ns0:dPr>
          <ns0:e>
            <ns0:d>
              <ns0:dPr>
                <ns0:begChr ns0:val="("/>
                <ns0:endChr ns0:val=")"/>
                <ns0:grow ns0:val="1"/>
                <ns0:ctrlPr>
                  <w:rPr>
                    <w:rFonts w:ascii="Cambria Math" w:hAnsi="Cambria Math"/>
                  </w:rPr>
                </ns0:ctrlPr>
              </ns0:d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e>
            </ns0:d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|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Y</ns0:t>
                </ns0:r>
              </ns0:e>
              <ns0:sub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&gt;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τ</ns0:t>
                </ns0:r>
              </ns0:e>
              <ns0:sub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</ns0:e>
        </ns0:d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，在集合内全部目标点上计算MAE与平均低估误差（average underestimation error，AUE）：</w:t>
      </w:r>
    </w:p>
    <w:p xmlns:w="http://schemas.openxmlformats.org/wordprocessingml/2006/main" xmlns:w14="http://schemas.microsoft.com/office/word/2010/wordml" xmlns:m="http://schemas.openxmlformats.org/officeDocument/2006/math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AUE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1</m:t>
            </m:r>
          </m:num>
          <m:den>
            <m:d>
              <m:dPr>
                <m:begChr m:val="|"/>
                <m:endChr m:val="|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Ω</m:t>
                </m:r>
              </m:e>
            </m:d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begChr m:val="("/>
                <m:endChr m:val=")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Times New Roman" w:hAnsi="Times New Roman" w:cs="Times New Roman"/>
                <w:sz w:val="21"/>
                <w:szCs w:val="21"/>
              </w:rPr>
              <m:t>Ω</m:t>
            </m:r>
          </m:sub>
          <m:sup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max</m:t>
                </m:r>
              </m:fName>
              <m:e>
                <m:d>
                  <m:dPr>
                    <m:begChr m:val="("/>
                    <m:endChr m:val=")"/>
                    <m:grow m:val="1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</m:e>
                </m:d>
              </m:e>
            </m:func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(16)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高需求点的MAE与AUE（8次重复，均值±样本标准差）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AUE为0.147和0.137，在GÉANT上为0.632和0.577，均值均低于所列对照。Abilene上，相对DLinear两项指标平均降低13.96%和16.07%，相对固定等权降低17.47%和20.84%。横轴为局部范围，虚线为DLinear均值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设置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h输入及原有划分和预处理；五种模型按2.1节设置独立训练，在GÉANT全部307个测试窗口上评价。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209.086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376000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376000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GÉANT一周预测的绝对误差与配对降幅（8次重复）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表4中，本文方法的平均MSE和MAE均最优，较DLinear降低23.16%和11.16%，较其余融合对照降低23.77%～26.11%和11.19%～12.39%。168 h模型含57587个参数，路由网络仍为131个，仅占0.23%。图4左列展示绝对误差，右列中全部64个配对降幅均为正值。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