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为聚合窗口内的时间索引。尺度1保留原序列，尺度2与尺度4分别对相邻2个和4个时间点取均值，因而形成96、48和24步的输入。三个尺度使用结构相同、参数独立的DLinear专家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与标准差概括标准化窗口的整体水平和离散程度，末时刻均值反映窗口末端的整体状态，而平均绝对一阶差分描述相邻时刻的平均变化幅度。因此，路由网络能够以较低维度接收当前窗口的整体变化信息，并据此计算尺度分数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低于所列基线。图2给出相对LightTS的误差降幅与参数比例：在Abilene和GÉANT上，MSE平均相对降幅分别为25.77%和43.74%，MAE为12.66%和29.09%。本文模型均含8339个参数，LightTS两套配置分别含130162和384382个参数，对应比例为6.41%和2.17%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在两套数据上的平均MSE和MAE均低于所列对照。相对DLinear，MSE的平均相对降幅分别为2.77%和2.35%；相对全局可学习权重，分别为1.80%和4.31%。全局权重在窗口间保持一致，而本文方法以窗口统计量调整尺度组合；结合恒定输入路由的对照，结果支持了在该24 h任务中依据窗口信息进行融合预测的设计。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以训练集各OD变量的第90百分位为高需求阈值，在测试集中超过对应阈值的目标点上计算MAE与平均低估误差。后者将低估时的差额计入，其他情况记为0，再对全部高需求点取平均，结果见图3。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平均低估误差分别为0.147和0.137，在GÉANT上分别为0.632和0.577，两项均值均低于所列对照。相对DLinear，Abilene两项指标的平均相对降幅分别为13.96%和16.07%。MAE反映总体偏差，平均低估误差侧重于预测需求不足的幅度，二者共同反映了该24 h任务中高需求点估计的改善，可为容量需求分析提供参考。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表4中，本文方法的平均MSE和MAE均为最优，较DLinear平均降低23.16%和11.16%。图4中，小圆点为单次配对降幅，菱形及横线为均值与样本标准差；相对每个对照，8次重复的两项误差均降低。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