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widowControl/>
        <w:jc w:val="center"/>
        <w:spacing w:before="0" w:after="160" w:line="360" w:lineRule="exact"/>
        <w:ind w:left="0" w:right="0" w:firstLine="0"/>
        <w:snapToGrid w:val="0"/>
        <w:keepNext/>
        <w:keepLines/>
      </w:pPr>
      <w:r>
        <w:rPr>
          <w:rFonts w:ascii="Times New Roman" w:hAnsi="Times New Roman" w:eastAsia="宋体" w:cs="Times New Roman"/>
          <w:b/>
          <w:color w:val="000000"/>
          <w:sz w:val="28"/>
          <w:szCs w:val="28"/>
        </w:rPr>
        <w:t>自适应多尺度加权的多变量网络流量预测</w:t>
      </w:r>
    </w:p>
    <w:p>
      <w:pPr>
        <w:pStyle w:val="JournalMetadata"/>
        <w:widowControl/>
        <w:jc w:val="left"/>
        <w:spacing w:before="0" w:after="4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收稿日期：</w:t>
      </w:r>
    </w:p>
    <w:p>
      <w:pPr>
        <w:pStyle w:val="JournalMetadata"/>
        <w:widowControl/>
        <w:jc w:val="left"/>
        <w:spacing w:before="0" w:after="4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作者简介：柯亚文（1998—），男（汉族），安徽池州人，助教，硕士研究生学历，硕士学位，主要研究方向：计算机软件。联系电话：12345678900；电子邮箱：keyawen@afc.edu.cn。</w:t>
      </w:r>
    </w:p>
    <w:p>
      <w:pPr>
        <w:pStyle w:val="JournalAuthor"/>
        <w:widowControl/>
        <w:jc w:val="center"/>
        <w:spacing w:before="0" w:after="8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柯亚文</w:t>
      </w:r>
    </w:p>
    <w:p>
      <w:pPr>
        <w:pStyle w:val="JournalAffiliation"/>
        <w:widowControl/>
        <w:jc w:val="center"/>
        <w:spacing w:before="0" w:after="12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（安徽财贸职业学院 信息工程学院，安徽 合肥 231200）</w:t>
      </w:r>
    </w:p>
    <w:p>
      <w:pPr>
        <w:pStyle w:val="JournalAbstract"/>
        <w:widowControl/>
        <w:jc w:val="both"/>
        <w:spacing w:before="0" w:after="6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摘要：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提出自适应多尺度加权方法，按窗口统计量融合三个分解线性模型（DLinear）的小时级流量预测。8次重复中，Abilene和GÉANT的24 h均方误差较LightTS平均降低25.77%和43.74%，参数量为其6.41%和2.17%。较DLinear，Abilene高需求点平均低估误差降低16.07%，GÉANT的168 h均方误差和平均绝对误差降低23.16%和11.16%，辅助容量需求估计。</w:t>
      </w:r>
    </w:p>
    <w:p>
      <w:pPr>
        <w:pStyle w:val="JournalAbstract"/>
        <w:widowControl/>
        <w:jc w:val="both"/>
        <w:spacing w:before="0" w:after="6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关键词：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网络流量预测；多变量时间序列；多尺度学习；自适应加权；分解线性模型</w:t>
      </w:r>
    </w:p>
    <w:p>
      <w:pPr>
        <w:pStyle w:val="JournalMetadata"/>
        <w:widowControl/>
        <w:jc w:val="left"/>
        <w:spacing w:before="0" w:after="4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中图分类号：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TP393    </w:t>
      </w: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文献标志码：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A    </w:t>
      </w: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文章编号：</w:t>
      </w:r>
    </w:p>
    <w:p>
      <w:pPr>
        <w:pStyle w:val="JournalMetadata"/>
        <w:widowControl/>
        <w:jc w:val="left"/>
        <w:spacing w:before="0" w:after="40" w:line="360" w:lineRule="exact"/>
        <w:ind w:left="0" w:right="0" w:firstLine="0"/>
        <w:snapToGrid w:val="0"/>
        <w:sectPr w:rsidR="00B503EC" w:rsidRPr="00D62458" w:rsidSect="002C04BD">
          <w:headerReference w:type="default" r:id="rId7"/>
          <w:pgSz w:w="11906" w:h="16838"/>
          <w:pgMar w:top="935" w:right="746" w:bottom="779" w:left="1080" w:header="851" w:footer="331" w:gutter="0"/>
          <w:cols w:space="720"/>
          <w:docGrid w:type="lines" w:linePitch="312"/>
        </w:sectPr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doi：</w:t>
      </w:r>
    </w:p>
    <w:p>
      <w:pPr>
        <w:pStyle w:val="JournalHeading1"/>
        <w:widowControl/>
        <w:jc w:val="left"/>
        <w:spacing w:before="100" w:after="100" w:line="360" w:lineRule="exact"/>
        <w:ind w:left="0" w:right="0" w:firstLine="0"/>
        <w:snapToGrid w:val="0"/>
        <w:keepNext/>
        <w:keepLines/>
        <w:outlineLvl w:val="0"/>
      </w:pPr>
      <w:r>
        <w:rPr>
          <w:rFonts w:ascii="Times New Roman" w:hAnsi="Times New Roman" w:eastAsia="宋体" w:cs="Times New Roman"/>
          <w:b/>
          <w:color w:val="000000"/>
          <w:sz w:val="24"/>
          <w:szCs w:val="24"/>
        </w:rPr>
        <w:t>0　引言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骨干网的容量配置与资源管理需要估计未来的通信需求，而源—目的节点对（origin-destination，OD）的流量预测能够为需求分析提供数据依据。小时级OD流量既包含局部波动，也呈现较慢的趋势变化，而且不同历史窗口的波动幅度与近期变化状态有所不同。因此，预测模型需要提取不同时间尺度的信息，并结合当前窗口的统计特征融合各尺度预测，从而估计未来多个时刻的流量需求。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围绕网络流量预测，已有研究从时间依赖、变量关联与周期结构等方面开展探索。Lohrasbinasab等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[1]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总结了统计方法和机器学习方法的研究进展；Qin等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[2]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利用图神经网络建模时空关联，韦烜等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[3]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讨论了大型网际协议（Internet Protocol，IP）网络流量矩阵的变量关系与时间变化，唐文杰等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[4]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则通过周期性整合组织流量信息。这些研究为流量序列的结构建模提供了不同思路。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在时间结构建模方面，Zhou等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[5]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通过深度回声状态网络开展多尺度流量预测。分解线性模型（decomposition linear model，DLinear）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[6]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将趋势项和余项分别映射至预测区间，TimeMixer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[7]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采用可分解多尺度混合；TimesNet公开基准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[8]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则将基于多层感知机（multilayer perceptron，MLP）的LightTS纳入比较。本文关注以低维窗口特征调整不同尺度预测的融合权重。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本文据此将三个独立DLinear专家与四维统计特征驱动的尺度路由相结合。时间聚合形成多尺度输入，各专家在OD变量间共享时间映射，路由网络则随窗口状态调整融合权重，以较少参数完成样本级融合。在Abilene和GÉANT上，以过去96 h预测未来24 h，通过基线比较、融合消融与高需求分析评价模型，并在GÉANT上考察未来168 h的一周预测表现。</w:t>
      </w:r>
    </w:p>
    <w:p>
      <w:pPr>
        <w:pStyle w:val="JournalHeading1"/>
        <w:widowControl/>
        <w:jc w:val="left"/>
        <w:spacing w:before="100" w:after="100" w:line="360" w:lineRule="exact"/>
        <w:ind w:left="0" w:right="0" w:firstLine="0"/>
        <w:snapToGrid w:val="0"/>
        <w:keepNext/>
        <w:keepLines/>
        <w:outlineLvl w:val="0"/>
      </w:pPr>
      <w:r>
        <w:rPr>
          <w:rFonts w:ascii="Times New Roman" w:hAnsi="Times New Roman" w:eastAsia="宋体" w:cs="Times New Roman"/>
          <w:b/>
          <w:color w:val="000000"/>
          <w:sz w:val="24"/>
          <w:szCs w:val="24"/>
        </w:rPr>
        <w:t>1　自适应多尺度网络流量预测方法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所提方法由多尺度预测分支和尺度路由分支组成，图1以24 h预测任务为例展示整体流程。预测分支提取不同时间分辨率下的趋势与余项，路由分支则根据当前窗口的统计特征分配尺度权重。两条分支共同作用，输出未来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个小时的逐小时OD流量预测。</w:t>
      </w:r>
    </w:p>
    <w:p>
      <w:pPr>
        <w:pStyle w:val="JournalFigure"/>
        <w:widowControl/>
        <w:jc w:val="center"/>
        <w:spacing w:before="0" w:after="100" w:line="360" w:lineRule="auto"/>
        <w:ind w:left="0" w:right="0" w:firstLine="0"/>
        <w:snapToGrid w:val="0"/>
      </w:pPr>
      <w:r>
        <w:pict>
          <v:shape id="JournalFigureBox1" type="#_x0000_t202" style="width:391.1811pt;height:271.4245pt" stroked="f" filled="f">
            <v:textbox inset="0,0,0,0">
              <w:txbxContent>
                <w:p>
                  <w:pPr>
                    <w:pStyle w:val="JournalFigure"/>
                    <w:widowControl/>
                    <w:jc w:val="center"/>
                    <w:spacing w:before="0" w:after="0" w:line="240" w:lineRule="auto"/>
                    <w:ind w:left="0" w:right="0" w:firstLine="0"/>
                    <w:snapToGrid w:val="0"/>
                  </w:pPr>
                  <w:r>
                    <w:drawing>
                      <wp:inline>
                        <wp:extent cx="4968000" cy="3167691"/>
                        <wp:docPr id="101" name="图1" descr="Original schematic: all labels, example curves and connections preserved; typography only."/>
                        <wp:cNvGraphicFramePr>
                          <ns0:graphicFrameLocks xmlns:ns0="http://schemas.openxmlformats.org/drawingml/2006/main" noChangeAspect="1"/>
                        </wp:cNvGraphicFramePr>
                        <ns0:graphic xmlns:ns0="http://schemas.openxmlformats.org/drawingml/2006/main">
                          <ns0:graphicData uri="http://schemas.openxmlformats.org/drawingml/2006/picture">
                            <ns0:pic xmlns:ns0="http://schemas.openxmlformats.org/drawingml/2006/picture">
                              <ns0:nvPicPr>
                                <ns0:cNvPr id="0" name="图1.png"/>
                                <ns0:cNvPicPr/>
                              </ns0:nvPicPr>
                              <ns0:blipFill>
                                <ns0:blip xmlns:ns0="http://schemas.openxmlformats.org/drawingml/2006/main" r:embed="rId19"/>
                                <ns0:stretch xmlns:ns0="http://schemas.openxmlformats.org/drawingml/2006/main">
                                  <ns0:fillRect/>
                                </ns0:stretch>
                              </ns0:blipFill>
                              <ns0:spPr>
                                <ns0:xfrm xmlns:ns0="http://schemas.openxmlformats.org/drawingml/2006/main">
                                  <ns0:off x="0" y="0"/>
                                  <ns0:ext cx="4968000" cy="3167691"/>
                                </ns0:xfrm>
                                <ns0:prstGeom xmlns:ns0="http://schemas.openxmlformats.org/drawingml/2006/main" prst="rect">
                                  <ns0:avLst/>
                                </ns0:prstGeom>
                              </ns0:spPr>
                            </ns0:pic>
                          </ns0:graphicData>
                        </ns0:graphic>
                      </wp:inline>
                    </w:drawing>
                  </w:r>
                </w:p>
                <w:p>
                  <w:pPr>
                    <w:pStyle w:val="JournalCaption"/>
                    <w:widowControl/>
                    <w:jc w:val="center"/>
                    <w:spacing w:before="0" w:after="0" w:line="360" w:lineRule="exact"/>
                    <w:ind w:left="0" w:right="0" w:firstLine="0"/>
                    <w:snapToGrid w:val="0"/>
                  </w:pPr>
                  <w:r>
                    <w:rPr>
                      <w:rFonts w:ascii="Times New Roman" w:hAnsi="Times New Roman" w:eastAsia="宋体" w:cs="Times New Roman"/>
                      <w:b/>
                      <w:color w:val="000000"/>
                      <w:sz w:val="18"/>
                      <w:szCs w:val="18"/>
                    </w:rPr>
                    <w:t>图1 自适应多尺度网络流量预测框架</w:t>
                  </w:r>
                </w:p>
              </w:txbxContent>
            </v:textbox>
          </v:shape>
        </w:pic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1.1　数据表示与预处理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记预处理后的多变量流量向量为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xₜ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，包含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C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个OD变量。沿时间轴以1 h步长构造滑动窗口，第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n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个样本由长度为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L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的历史输入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Xₙ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和其后长度为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的目标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Yₙ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组成，其中行对应时间点，列对应OD变量：</w:t>
      </w:r>
    </w:p>
    <w:p w14:paraId="6F17DC21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+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]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R</m:t>
            </m:r>
          </m:e>
          <m:sup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×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(1)</w:t>
      </w:r>
    </w:p>
    <w:p w14:paraId="0164DA13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Y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+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+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+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H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]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R</m:t>
            </m:r>
          </m:e>
          <m:sup>
            <m:r>
              <w:rPr>
                <w:rFonts w:ascii="Times New Roman" w:hAnsi="Times New Roman" w:cs="Times New Roman"/>
                <w:sz w:val="21"/>
                <w:szCs w:val="21"/>
              </w:rPr>
              <m:t>H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×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(2)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基础任务取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L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=96、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=24，一周任务取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L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=96、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=168。数据读取时，将缺失值和无穷值记为0，并将负值截为0。考虑到流量非负且变量量级不同，先进行自然对数变换，再按变量标准化：</w:t>
      </w:r>
    </w:p>
    <w:p w14:paraId="707F6E5C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u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log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(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1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v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).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(3)</w:t>
      </w:r>
    </w:p>
    <w:p w14:paraId="64DE62AA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u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t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</m:sub>
            </m:s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μ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</m:sub>
              <m:sup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tr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σ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</m:sub>
              <m:sup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tr</m:t>
                </m:r>
              </m:sup>
            </m:sSubSup>
          </m:den>
        </m:f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(4)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式中，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v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为原始流量，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u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为对数变换后的流量；下标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t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、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c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分别表示时间与变量，上标tr表示训练集统计量，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μ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与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σ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分别为对应变量的均值和标准差。验证集与测试集沿用训练统计量。数据首先按时间顺序划分，再在各子集中独立生成滑动窗口，使输入与目标均位于对应时间段内。</w: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1.2　多尺度构造与线性专家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为了在同一历史范围内兼顾局部变化与平滑趋势，设置尺度集合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S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={1,2,4}。对历史输入沿时间维进行非重叠平均池化，聚合长度与步长均为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s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，得到</w:t>
      </w:r>
    </w:p>
    <w:p w14:paraId="30802087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num>
          <m:den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i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=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0</m:t>
            </m:r>
          </m:sub>
          <m:sup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st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+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i</m:t>
                </m:r>
              </m:sub>
            </m:sSub>
          </m:e>
        </m:nary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 </m:t>
        </m:r>
        <m:r>
          <w:rPr>
            <w:rFonts w:ascii="Times New Roman" w:hAnsi="Times New Roman" w:cs="Times New Roman"/>
            <w:sz w:val="21"/>
            <w:szCs w:val="21"/>
          </w:rPr>
          <m:t>t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0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,…,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</m:num>
          <m:den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</m:den>
        </m:f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-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1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(5)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式中，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s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∈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S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i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为聚合窗口内的时间索引。尺度1保留原序列，尺度2与尺度4分别对相邻2个和4个时间点取均值，因而形成96、48和24步的输入。三个尺度使用结构相同、参数独立的DLinear专家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[6]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，并统一输出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步预测。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在每个尺度上，采用长度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q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=25的中心移动平均提取趋势项，序列两端通过复制端点补齐。设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m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=12，补齐后的输入参与下式计算：</w:t>
      </w:r>
    </w:p>
    <w:p w14:paraId="414FF6C3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T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num>
          <m:den>
            <m:r>
              <w:rPr>
                <w:rFonts w:ascii="Times New Roman" w:hAnsi="Times New Roman" w:cs="Times New Roman"/>
                <w:sz w:val="21"/>
                <w:szCs w:val="21"/>
              </w:rPr>
              <m:t>q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i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=-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m</m:t>
            </m:r>
          </m:sub>
          <m:sup>
            <m:r>
              <w:rPr>
                <w:rFonts w:ascii="Times New Roman" w:hAnsi="Times New Roman" w:cs="Times New Roman"/>
                <w:sz w:val="21"/>
                <w:szCs w:val="21"/>
              </w:rPr>
              <m:t>m</m:t>
            </m:r>
          </m:sup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acc>
                  <m:accPr>
                    <m:chr m:val="̃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X</m:t>
                    </m:r>
                  </m:e>
                </m:acc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t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+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i</m:t>
                </m:r>
              </m:sub>
              <m:sup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(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s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)</m:t>
                </m:r>
              </m:sup>
            </m:sSubSup>
          </m:e>
        </m:nary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 </m:t>
        </m:r>
        <m:r>
          <w:rPr>
            <w:rFonts w:ascii="Times New Roman" w:hAnsi="Times New Roman" w:cs="Times New Roman"/>
            <w:sz w:val="21"/>
            <w:szCs w:val="21"/>
          </w:rPr>
          <m:t>q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2</m:t>
        </m:r>
        <m:r>
          <w:rPr>
            <w:rFonts w:ascii="Times New Roman" w:hAnsi="Times New Roman" w:cs="Times New Roman"/>
            <w:sz w:val="21"/>
            <w:szCs w:val="21"/>
          </w:rPr>
          <m:t>m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+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1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25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(6)</w:t>
      </w:r>
    </w:p>
    <w:p w14:paraId="33BA619F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R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-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T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(7)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式中，带波浪号的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X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表示端点补齐序列，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T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与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R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分别表示趋势项和余项。随后，两个线性层沿时间维分别完成映射，并将其输出相加，得到尺度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s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的预测：</w:t>
      </w:r>
    </w:p>
    <w:p w14:paraId="7AF05777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Y</m:t>
                </m:r>
              </m:e>
            </m:acc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T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T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b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T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R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R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b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R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(8)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式中，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W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与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b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分别为线性层的权重和偏置，下标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T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、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R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表示对应分量。各权重矩阵的维度为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×(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L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/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s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)，偏置为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维，并在OD变量之间共享。由此，各尺度输出均为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×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C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，可直接进行后续融合。</w: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1.3　窗口统计特征与自适应加权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完成各尺度预测后，路由分支从原始时间分辨率的预处理窗口中提取均值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μₙ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、标准差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σₙ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、末时刻均值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ℓₙ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和平均绝对一阶差分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dₙ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，组成四维窗口整体统计特征向量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zₙ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。各统计量定义为</w:t>
      </w:r>
    </w:p>
    <w:p w14:paraId="31F9D3F4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μ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num>
          <m:den>
            <m:r>
              <w:rPr>
                <w:rFonts w:ascii="Times New Roman" w:hAnsi="Times New Roman" w:cs="Times New Roman"/>
                <w:sz w:val="21"/>
                <w:szCs w:val="21"/>
              </w:rPr>
              <m:t>LC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=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0</m:t>
            </m:r>
          </m:sub>
          <m:sup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p>
          <m:e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=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1</m:t>
                </m:r>
              </m:sub>
              <m:sup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,</m:t>
                    </m:r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,</m:t>
                    </m:r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c</m:t>
                    </m:r>
                  </m:sub>
                </m:sSub>
              </m:e>
            </m:nary>
          </m:e>
        </m:nary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σ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1</m:t>
                </m:r>
              </m:num>
              <m:den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LC</m:t>
                </m:r>
              </m:den>
            </m:f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t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=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0</m:t>
                </m:r>
              </m:sub>
              <m:sup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L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-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1</m:t>
                </m:r>
              </m:sup>
              <m:e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=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1</m:t>
                    </m:r>
                  </m:sub>
                  <m:sup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C</m:t>
                    </m:r>
                  </m:sup>
                  <m:e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(</m:t>
                    </m:r>
                  </m:e>
                </m:nary>
              </m:e>
            </m:nary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t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</m:sub>
            </m:s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μ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</m:sub>
            </m:s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(9)</w:t>
      </w:r>
    </w:p>
    <w:p w14:paraId="5845123A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Times New Roman" w:hAnsi="Times New Roman" w:cs="Times New Roman"/>
                <w:sz w:val="21"/>
                <w:szCs w:val="21"/>
              </w:rPr>
              <m:t>l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num>
          <m:den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=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b>
          <m:sup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L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-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1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</m:sub>
            </m:sSub>
          </m:e>
        </m:nary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d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=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b>
          <m:sup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p>
          <m:e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=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1</m:t>
                </m:r>
              </m:sub>
              <m:sup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</m:sup>
              <m:e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|</m:t>
                </m:r>
              </m:e>
            </m:nary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|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(10)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均值与标准差概括标准化窗口的整体水平和离散程度，末时刻均值反映窗口末端的整体状态，而平均绝对一阶差分描述相邻时刻的平均变化幅度。因此，路由网络能够以较低维度接收当前窗口的整体变化信息，并据此计算尺度分数：</w:t>
      </w:r>
    </w:p>
    <w:p w14:paraId="528ACD1B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a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ReLU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z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b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)+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b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(11)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式中，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aₙ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为尺度分数向量，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W₁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、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W₂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与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b₁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、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b₂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分别为两层网络的权重矩阵和偏置。第一层将四维特征映射到16维隐藏层，经修正线性单元（rectified linear unit，ReLU）激活后，第二层输出三个尺度分数。两层权重矩阵分别为16×4和3×16，偏置分别为16维和3维。进一步采用归一化指数函数（Softmax），得到</w:t>
      </w:r>
    </w:p>
    <w:p w14:paraId="2D027ED5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α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exp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a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s</m:t>
                </m:r>
              </m:sub>
            </m:s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num>
          <m:den>
            <m:nary>
              <m:naryPr>
                <m:chr m:val="∑"/>
                <m:limLoc m:val="undOvr"/>
                <m:supHide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j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∈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S</m:t>
                </m:r>
              </m:sub>
              <m:sup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​</m:t>
                </m:r>
              </m:sup>
              <m:e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exp</m:t>
                </m:r>
              </m:e>
            </m:nary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a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j</m:t>
                </m:r>
              </m:sub>
            </m:s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den>
        </m:f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α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≥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0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 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∈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</m:sub>
          <m:sup>
            <m:r>
              <w:rPr>
                <w:rFonts w:ascii="Times New Roman" w:hAnsi="Times New Roman" w:cs="Times New Roman"/>
                <w:sz w:val="21"/>
                <w:szCs w:val="21"/>
              </w:rPr>
              <m:t>​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α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s</m:t>
                </m:r>
              </m:sub>
            </m:sSub>
          </m:e>
        </m:nary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1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(12)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其中，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αₙ,ₛ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表示第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n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个窗口在尺度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s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上的融合权重，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j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为尺度集合中的求和索引。三个非负权重之和为1，并在当前窗口的全部OD变量和预测步之间共享。最终预测为</w:t>
      </w:r>
    </w:p>
    <w:p w14:paraId="4DBD2A18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Y</m:t>
                </m:r>
              </m:e>
            </m:acc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∈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</m:sub>
          <m:sup>
            <m:r>
              <w:rPr>
                <w:rFonts w:ascii="Times New Roman" w:hAnsi="Times New Roman" w:cs="Times New Roman"/>
                <w:sz w:val="21"/>
                <w:szCs w:val="21"/>
              </w:rPr>
              <m:t>​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α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s</m:t>
                </m:r>
              </m:sub>
            </m:sSub>
          </m:e>
        </m:nary>
        <m:sSubSup>
          <m:sSubSupPr>
            <m:ctrlPr>
              <w:rPr>
                <w:rFonts w:ascii="Cambria Math" w:hAnsi="Cambria Math"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Y</m:t>
                </m:r>
              </m:e>
            </m:acc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(13)</w: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1.4　模型训练与参数规模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尺度专家与路由网络联合训练，以均方误差（mean squared error，MSE）为损失函数，对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N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个训练样本、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个预测步和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C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个变量的平方误差取平均：</w:t>
      </w:r>
    </w:p>
    <w:p w14:paraId="73383E0B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L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MSE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num>
          <m:den>
            <m:r>
              <w:rPr>
                <w:rFonts w:ascii="Times New Roman" w:hAnsi="Times New Roman" w:cs="Times New Roman"/>
                <w:sz w:val="21"/>
                <w:szCs w:val="21"/>
              </w:rPr>
              <m:t>NHC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=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b>
          <m:sup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p>
          <m:e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h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=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1</m:t>
                </m:r>
              </m:sub>
              <m:sup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H</m:t>
                </m:r>
              </m:sup>
              <m:e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=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1</m:t>
                    </m:r>
                  </m:sub>
                  <m:sup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C</m:t>
                    </m:r>
                  </m:sup>
                  <m:e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(</m:t>
                    </m:r>
                  </m:e>
                </m:nary>
              </m:e>
            </m:nary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Y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h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Y</m:t>
                </m:r>
              </m:e>
            </m:acc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h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2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(14)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采用自适应矩估计（adaptive moment estimation，Adam）优化器更新参数，并依据验证集MSE选择模型。每个尺度包含两个线性层，参数量为2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(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L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/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s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+1)；路由网络参数量为4×16+16+16×3+3=131。因此，当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L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=96、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=24时，模型总参数量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P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为</w:t>
      </w:r>
    </w:p>
    <w:p>
      <w:pPr>
        <w:pStyle w:val="JournalEquation"/>
        <w:widowControl/>
        <w:jc w:val="center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m:oMath>
        <m:r>
          <w:rPr>
            <w:rFonts w:ascii="Times New Roman" w:hAnsi="Times New Roman" w:cs="Times New Roman"/>
            <w:sz w:val="21"/>
            <w:szCs w:val="21"/>
          </w:rPr>
          <m:t>P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 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 </m:t>
        </m:r>
        <m:nary>
          <m:naryPr>
            <m:chr m:val="∑"/>
            <m:limLoc m:val="subSup"/>
            <m:supHide m:val="1"/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∈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</m:sub>
          <m:sup/>
          <m:e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2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H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/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+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e>
        </m:nary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 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+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 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131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 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 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8339</m:t>
        </m:r>
        <m:r>
          <m:rPr>
            <m:sty m:val="p"/>
          </m:rPr>
          <w:rPr>
            <w:rFonts w:ascii="Times New Roman" w:hAnsi="Times New Roman" w:eastAsia="宋体" w:cs="Times New Roman"/>
            <w:color w:val="000000"/>
            <w:sz w:val="21"/>
            <w:szCs w:val="21"/>
            <w:i w:val="0"/>
            <w:b w:val="0"/>
          </w:rPr>
          <m:t>.</m:t>
        </m:r>
      </m:oMath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同一尺度的线性映射在变量间共享，因此参数量不随OD变量数增加；24 h配置中，路由参数仅占总参数量的1.57%。当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=168时，模型含57587个参数，路由网络仍为131个参数。模型依次通过多尺度预测与自适应融合，输出标准化空间中的多步预测结果。</w:t>
      </w:r>
    </w:p>
    <w:p>
      <w:pPr>
        <w:pStyle w:val="JournalHeading1"/>
        <w:widowControl/>
        <w:jc w:val="left"/>
        <w:spacing w:before="100" w:after="100" w:line="360" w:lineRule="exact"/>
        <w:ind w:left="0" w:right="0" w:firstLine="0"/>
        <w:snapToGrid w:val="0"/>
        <w:keepNext/>
        <w:keepLines/>
        <w:outlineLvl w:val="0"/>
      </w:pPr>
      <w:r>
        <w:rPr>
          <w:rFonts w:ascii="Times New Roman" w:hAnsi="Times New Roman" w:eastAsia="宋体" w:cs="Times New Roman"/>
          <w:b/>
          <w:color w:val="000000"/>
          <w:sz w:val="24"/>
          <w:szCs w:val="24"/>
        </w:rPr>
        <w:t>2　实验与结果分析</w: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2.1　数据与实验设置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实验采用CESNET TS-Zoo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[9]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中1 h粒度的Abilene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[10]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与GÉANT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[11]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流量矩阵，两套数据分别含4656和2849个时间点。按时间顺序以6∶2∶2划分训练集、验证集和测试集，并独立训练和评价。对数变换后，仅保留训练集标准差大于10⁻⁸的变量，Abilene保留144个OD变量，GÉANT保留524个OD变量。两套数据均开展24 h预测，GÉANT另设168 h预测任务，数据划分与样本窗口数见表1。</w:t>
      </w:r>
    </w:p>
    <w:p>
      <w:pPr>
        <w:pStyle w:val="JournalCaption"/>
        <w:widowControl/>
        <w:jc w:val="center"/>
        <w:spacing w:before="0" w:after="0" w:line="360" w:lineRule="exact"/>
        <w:ind w:left="0" w:right="0" w:firstLine="0"/>
        <w:snapToGrid w:val="0"/>
        <w:keepNext/>
      </w:pPr>
      <w:r>
        <w:rPr>
          <w:rFonts w:ascii="Times New Roman" w:hAnsi="Times New Roman" w:eastAsia="宋体" w:cs="Times New Roman"/>
          <w:b/>
          <w:color w:val="000000"/>
          <w:sz w:val="18"/>
          <w:szCs w:val="18"/>
        </w:rPr>
        <w:t>表1 数据集规模与预测任务设置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1191"/>
        <w:gridCol w:w="1134"/>
        <w:gridCol w:w="2778"/>
        <w:gridCol w:w="2665"/>
      </w:tblGrid>
      <w:tr>
        <w:trPr>
          <w:cantSplit/>
          <w:tblHeader/>
        </w:trPr>
        <w:tc>
          <w:tcPr>
            <w:tcW w:type="dxa" w:w="1191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数据集</w:t>
            </w:r>
          </w:p>
        </w:tc>
        <w:tc>
          <w:tcPr>
            <w:tcW w:type="dxa" w:w="1191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有效变量数</w:t>
            </w:r>
          </w:p>
        </w:tc>
        <w:tc>
          <w:tcPr>
            <w:tcW w:type="dxa" w:w="1134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预测时长/h</w:t>
            </w:r>
          </w:p>
        </w:tc>
        <w:tc>
          <w:tcPr>
            <w:tcW w:type="dxa" w:w="2778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训练/验证/测试时间点</w:t>
            </w:r>
          </w:p>
        </w:tc>
        <w:tc>
          <w:tcPr>
            <w:tcW w:type="dxa" w:w="2665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训练/验证/测试窗口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1191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144</w:t>
            </w:r>
          </w:p>
        </w:tc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24</w:t>
            </w:r>
          </w:p>
        </w:tc>
        <w:tc>
          <w:tcPr>
            <w:tcW w:type="dxa" w:w="277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2793/931/932</w:t>
            </w:r>
          </w:p>
        </w:tc>
        <w:tc>
          <w:tcPr>
            <w:tcW w:type="dxa" w:w="2665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2674/812/813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1191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524</w:t>
            </w:r>
          </w:p>
        </w:tc>
        <w:tc>
          <w:tcPr>
            <w:tcW w:type="dxa" w:w="113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24</w:t>
            </w:r>
          </w:p>
        </w:tc>
        <w:tc>
          <w:tcPr>
            <w:tcW w:type="dxa" w:w="277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1709/570/570</w:t>
            </w:r>
          </w:p>
        </w:tc>
        <w:tc>
          <w:tcPr>
            <w:tcW w:type="dxa" w:w="2665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1590/451/451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1191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524</w:t>
            </w:r>
          </w:p>
        </w:tc>
        <w:tc>
          <w:tcPr>
            <w:tcW w:type="dxa" w:w="1134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168</w:t>
            </w:r>
          </w:p>
        </w:tc>
        <w:tc>
          <w:tcPr>
            <w:tcW w:type="dxa" w:w="2778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1709/570/570</w:t>
            </w:r>
          </w:p>
        </w:tc>
        <w:tc>
          <w:tcPr>
            <w:tcW w:type="dxa" w:w="2665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1446/307/307</w:t>
            </w:r>
          </w:p>
        </w:tc>
      </w:tr>
    </w:tbl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基础实验中，各模型均以96 h历史预测未来24 h，批量大小为16。DLinear及多尺度模型的学习率为0.001，最多训练30轮，早停耐心值为6；LightTS采用TimesNet公开基准代码库的实现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[8]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，分块长度为24、模型维度为512，学习率为0.0001，最多训练50轮，早停耐心值为10。各模型均按验证集MSE选择检查点。软件环境为Python 3.11.9和PyTorch 2.5.1。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各模型均采用42～49八个共同随机种子重复训练。误差报告均值与样本标准差，误差线表示样本标准差；相对降幅按相同种子下的结果计算，再取平均。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采用MSE和平均绝对误差（mean absolute error，MAE）评价预测结果，两项指标均在对数变换与逐变量标准化后的空间计算。测试集MSE按式（14）计算，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N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取相应测试窗口数；MAE为</w:t>
      </w:r>
    </w:p>
    <w:p w14:paraId="1CAEA4A5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MAE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te</m:t>
                </m:r>
              </m:sub>
            </m:sSub>
            <m:r>
              <w:rPr>
                <w:rFonts w:ascii="Times New Roman" w:hAnsi="Times New Roman" w:cs="Times New Roman"/>
                <w:sz w:val="21"/>
                <w:szCs w:val="21"/>
              </w:rPr>
              <m:t>HC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=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b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te</m:t>
                </m:r>
              </m:sub>
            </m:sSub>
          </m:sup>
          <m:e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h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=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1</m:t>
                </m:r>
              </m:sub>
              <m:sup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H</m:t>
                </m:r>
              </m:sup>
              <m:e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=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1</m:t>
                    </m:r>
                  </m:sub>
                  <m:sup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C</m:t>
                    </m:r>
                  </m:sup>
                  <m:e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|</m:t>
                    </m:r>
                  </m:e>
                </m:nary>
              </m:e>
            </m:nary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Y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h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Y</m:t>
                </m:r>
              </m:e>
            </m:acc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h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|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(15)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式中，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Nₜₑ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为测试窗口数。MSE对较大偏差更敏感，MAE反映平均绝对偏差；两项指标越小，预测误差越低。</w: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2.2　预测精度比较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选取单尺度DLinear和LightTS作为基线，在相同测试窗口上进行比较，结果见表2。</w:t>
      </w:r>
    </w:p>
    <w:p>
      <w:pPr>
        <w:pStyle w:val="JournalCaption"/>
        <w:widowControl/>
        <w:jc w:val="center"/>
        <w:spacing w:before="0" w:after="0" w:line="360" w:lineRule="exact"/>
        <w:ind w:left="0" w:right="0" w:firstLine="0"/>
        <w:snapToGrid w:val="0"/>
        <w:keepNext/>
      </w:pPr>
      <w:r>
        <w:rPr>
          <w:rFonts w:ascii="Times New Roman" w:hAnsi="Times New Roman" w:eastAsia="宋体" w:cs="Times New Roman"/>
          <w:b/>
          <w:color w:val="000000"/>
          <w:sz w:val="18"/>
          <w:szCs w:val="18"/>
        </w:rPr>
        <w:t>表2 基线模型的24 h预测误差（8次重复）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2494"/>
        <w:gridCol w:w="2608"/>
        <w:gridCol w:w="2608"/>
      </w:tblGrid>
      <w:tr>
        <w:trPr>
          <w:cantSplit/>
          <w:tblHeader/>
        </w:trPr>
        <w:tc>
          <w:tcPr>
            <w:tcW w:type="dxa" w:w="1134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数据集</w:t>
            </w:r>
          </w:p>
        </w:tc>
        <w:tc>
          <w:tcPr>
            <w:tcW w:type="dxa" w:w="2494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方法</w:t>
            </w:r>
          </w:p>
        </w:tc>
        <w:tc>
          <w:tcPr>
            <w:tcW w:type="dxa" w:w="2608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MSE</w:t>
            </w:r>
          </w:p>
        </w:tc>
        <w:tc>
          <w:tcPr>
            <w:tcW w:type="dxa" w:w="2608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MAE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DLinear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0.194±0.002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0.189±0.008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LightTS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0.255±0.014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0.199±0.008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本文方法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0.189±0.003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0.173±0.008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DLinear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0.437±0.016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0.371±0.011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LightTS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0.761±0.056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0.516±0.013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2494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本文方法</w:t>
            </w:r>
          </w:p>
        </w:tc>
        <w:tc>
          <w:tcPr>
            <w:tcW w:type="dxa" w:w="2608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0.426±0.029</w:t>
            </w:r>
          </w:p>
        </w:tc>
        <w:tc>
          <w:tcPr>
            <w:tcW w:type="dxa" w:w="2608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0.366±0.018</w:t>
            </w:r>
          </w:p>
        </w:tc>
      </w:tr>
    </w:tbl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表2中，本文方法在两套数据上的平均MSE和MAE均低于所列基线。图2给出相对LightTS的误差降幅与参数比例：在Abilene和GÉANT上，MSE平均相对降幅分别为25.77%和43.74%，MAE为12.66%和29.09%。本文模型均含8339个参数，LightTS两套配置分别含130162和384382个参数，对应比例为6.41%和2.17%。</w:t>
      </w:r>
    </w:p>
    <w:p>
      <w:pPr>
        <w:pStyle w:val="JournalFigure"/>
        <w:widowControl/>
        <w:jc w:val="center"/>
        <w:spacing w:before="0" w:after="100" w:line="360" w:lineRule="auto"/>
        <w:ind w:left="0" w:right="0" w:firstLine="0"/>
        <w:snapToGrid w:val="0"/>
      </w:pPr>
      <w:r>
        <w:pict>
          <v:shape id="JournalFigureBox2" type="#_x0000_t202" style="width:391.1811pt;height:176.8400pt" stroked="f" filled="f">
            <v:textbox inset="0,0,0,0">
              <w:txbxContent>
                <w:p>
                  <w:pPr>
                    <w:pStyle w:val="JournalFigure"/>
                    <w:widowControl/>
                    <w:jc w:val="center"/>
                    <w:spacing w:before="0" w:after="0" w:line="240" w:lineRule="auto"/>
                    <w:ind w:left="0" w:right="0" w:firstLine="0"/>
                    <w:snapToGrid w:val="0"/>
                  </w:pPr>
                  <w:r>
                    <w:drawing>
                      <wp:inline>
                        <wp:extent cx="4968000" cy="1966468"/>
                        <wp:docPr id="102" name="图2" descr="Same twelve paired reductions, three seeds per dataset/metric; sample SD. Deterministic parameter ratios unchanged."/>
                        <wp:cNvGraphicFramePr>
                          <ns0:graphicFrameLocks xmlns:ns0="http://schemas.openxmlformats.org/drawingml/2006/main" noChangeAspect="1"/>
                        </wp:cNvGraphicFramePr>
                        <ns0:graphic xmlns:ns0="http://schemas.openxmlformats.org/drawingml/2006/main">
                          <ns0:graphicData uri="http://schemas.openxmlformats.org/drawingml/2006/picture">
                            <ns0:pic xmlns:ns0="http://schemas.openxmlformats.org/drawingml/2006/picture">
                              <ns0:nvPicPr>
                                <ns0:cNvPr id="0" name="图2.png"/>
                                <ns0:cNvPicPr/>
                              </ns0:nvPicPr>
                              <ns0:blipFill>
                                <ns0:blip xmlns:ns0="http://schemas.openxmlformats.org/drawingml/2006/main" r:embed="rId20"/>
                                <ns0:stretch xmlns:ns0="http://schemas.openxmlformats.org/drawingml/2006/main">
                                  <ns0:fillRect/>
                                </ns0:stretch>
                              </ns0:blipFill>
                              <ns0:spPr>
                                <ns0:xfrm xmlns:ns0="http://schemas.openxmlformats.org/drawingml/2006/main">
                                  <ns0:off x="0" y="0"/>
                                  <ns0:ext cx="4968000" cy="1966468"/>
                                </ns0:xfrm>
                                <ns0:prstGeom xmlns:ns0="http://schemas.openxmlformats.org/drawingml/2006/main" prst="rect">
                                  <ns0:avLst/>
                                </ns0:prstGeom>
                              </ns0:spPr>
                            </ns0:pic>
                          </ns0:graphicData>
                        </ns0:graphic>
                      </wp:inline>
                    </w:drawing>
                  </w:r>
                </w:p>
                <w:p>
                  <w:pPr>
                    <w:pStyle w:val="JournalCaption"/>
                    <w:widowControl/>
                    <w:jc w:val="center"/>
                    <w:spacing w:before="0" w:after="0" w:line="360" w:lineRule="exact"/>
                    <w:ind w:left="0" w:right="0" w:firstLine="0"/>
                    <w:snapToGrid w:val="0"/>
                  </w:pPr>
                  <w:r>
                    <w:rPr>
                      <w:rFonts w:ascii="Times New Roman" w:hAnsi="Times New Roman" w:eastAsia="宋体" w:cs="Times New Roman"/>
                      <w:b/>
                      <w:color w:val="000000"/>
                      <w:sz w:val="18"/>
                      <w:szCs w:val="18"/>
                    </w:rPr>
                    <w:t>图2 相对LightTS的预测误差降低率与参数比例</w:t>
                  </w:r>
                </w:p>
              </w:txbxContent>
            </v:textbox>
          </v:shape>
        </w:pic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图2(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a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)、(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b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)的柱高为八个共同种子的平均相对降幅，误差线为样本标准差；图2(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c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)以对应LightTS配置的参数量为100%，给出本文模型的参数比例。该结果表明，在所设24 h任务中，多尺度线性预测与低维窗口融合能够兼顾参数规模和预测误差。</w: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2.3　融合方式消融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保持三个独立DLinear专家与尺度集合不变，比较融合方式。固定等权模型将权重设为1/3；全局可学习权重模型（图中简称“全局权重”）以三个可训练分数生成所有窗口共用的权重；恒定输入路由模型（图中简称“恒定路由”）保留两层路由网络，并输入全零特征。各对照均以真实历史序列驱动尺度专家，结果见表3。</w:t>
      </w:r>
    </w:p>
    <w:p>
      <w:pPr>
        <w:pStyle w:val="JournalCaption"/>
        <w:widowControl/>
        <w:jc w:val="center"/>
        <w:spacing w:before="0" w:after="0" w:line="360" w:lineRule="exact"/>
        <w:ind w:left="0" w:right="0" w:firstLine="0"/>
        <w:snapToGrid w:val="0"/>
        <w:keepNext/>
      </w:pPr>
      <w:r>
        <w:rPr>
          <w:rFonts w:ascii="Times New Roman" w:hAnsi="Times New Roman" w:eastAsia="宋体" w:cs="Times New Roman"/>
          <w:b/>
          <w:color w:val="000000"/>
          <w:sz w:val="18"/>
          <w:szCs w:val="18"/>
        </w:rPr>
        <w:t>表3 融合方式的24 h预测误差（8次重复）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2494"/>
        <w:gridCol w:w="2608"/>
        <w:gridCol w:w="2608"/>
      </w:tblGrid>
      <w:tr>
        <w:trPr>
          <w:cantSplit/>
          <w:tblHeader/>
        </w:trPr>
        <w:tc>
          <w:tcPr>
            <w:tcW w:type="dxa" w:w="1134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数据集</w:t>
            </w:r>
          </w:p>
        </w:tc>
        <w:tc>
          <w:tcPr>
            <w:tcW w:type="dxa" w:w="2494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方法</w:t>
            </w:r>
          </w:p>
        </w:tc>
        <w:tc>
          <w:tcPr>
            <w:tcW w:type="dxa" w:w="2608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MSE</w:t>
            </w:r>
          </w:p>
        </w:tc>
        <w:tc>
          <w:tcPr>
            <w:tcW w:type="dxa" w:w="2608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MAE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DLinear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0.194±0.002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0.189±0.008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固定等权多尺度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0.192±0.002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0.191±0.006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全局可学习权重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0.192±0.002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0.190±0.006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恒定输入路由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0.192±0.002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0.181±0.006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本文方法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0.189±0.003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0.173±0.008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DLinear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0.437±0.016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0.371±0.011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固定等权多尺度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0.447±0.014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0.377±0.009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全局可学习权重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0.446±0.014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0.377±0.009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恒定输入路由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0.449±0.012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0.379±0.007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2494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本文方法</w:t>
            </w:r>
          </w:p>
        </w:tc>
        <w:tc>
          <w:tcPr>
            <w:tcW w:type="dxa" w:w="2608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0.426±0.029</w:t>
            </w:r>
          </w:p>
        </w:tc>
        <w:tc>
          <w:tcPr>
            <w:tcW w:type="dxa" w:w="2608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0.366±0.018</w:t>
            </w:r>
          </w:p>
        </w:tc>
      </w:tr>
    </w:tbl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表3中，本文方法在两套数据上的平均MSE和MAE均低于所列对照。相对DLinear，MSE的平均相对降幅分别为2.77%和2.35%；相对全局可学习权重，分别为1.80%和4.31%。全局权重在窗口间保持一致，而本文方法以窗口统计量调整尺度组合；结合恒定输入路由的对照，结果支持了在该24 h任务中依据窗口信息进行融合预测的设计。</w: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2.4　高需求预测表现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以训练集各OD变量的第90百分位为高需求阈值，在测试集中超过对应阈值的目标点上计算MAE与平均低估误差。后者将低估时的差额计入，其他情况记为0，再对全部高需求点取平均，结果见图3。</w:t>
      </w:r>
    </w:p>
    <w:p>
      <w:pPr>
        <w:pStyle w:val="JournalFigure"/>
        <w:widowControl/>
        <w:jc w:val="center"/>
        <w:spacing w:before="0" w:after="100" w:line="360" w:lineRule="auto"/>
        <w:ind w:left="0" w:right="0" w:firstLine="0"/>
        <w:snapToGrid w:val="0"/>
      </w:pPr>
      <w:r>
        <w:pict>
          <v:shape id="JournalFigureBox3" type="#_x0000_t202" style="width:391.1811pt;height:212.8493pt" stroked="f" filled="f">
            <v:textbox inset="0,0,0,0">
              <w:txbxContent>
                <w:p>
                  <w:pPr>
                    <w:pStyle w:val="JournalFigure"/>
                    <w:widowControl/>
                    <w:jc w:val="center"/>
                    <w:spacing w:before="0" w:after="0" w:line="240" w:lineRule="auto"/>
                    <w:ind w:left="0" w:right="0" w:firstLine="0"/>
                    <w:snapToGrid w:val="0"/>
                  </w:pPr>
                  <w:r>
                    <w:drawing>
                      <wp:inline>
                        <wp:extent cx="4968000" cy="2423786"/>
                        <wp:docPr id="103" name="图3" descr="All eighty high-demand dataset/model/seed rows. Same means and sample SD; only fonts, tick direction and grid styling changed."/>
                        <wp:cNvGraphicFramePr>
                          <ns0:graphicFrameLocks xmlns:ns0="http://schemas.openxmlformats.org/drawingml/2006/main" noChangeAspect="1"/>
                        </wp:cNvGraphicFramePr>
                        <ns0:graphic xmlns:ns0="http://schemas.openxmlformats.org/drawingml/2006/main">
                          <ns0:graphicData uri="http://schemas.openxmlformats.org/drawingml/2006/picture">
                            <ns0:pic xmlns:ns0="http://schemas.openxmlformats.org/drawingml/2006/picture">
                              <ns0:nvPicPr>
                                <ns0:cNvPr id="0" name="图3.png"/>
                                <ns0:cNvPicPr/>
                              </ns0:nvPicPr>
                              <ns0:blipFill>
                                <ns0:blip xmlns:ns0="http://schemas.openxmlformats.org/drawingml/2006/main" r:embed="rId21"/>
                                <ns0:stretch xmlns:ns0="http://schemas.openxmlformats.org/drawingml/2006/main">
                                  <ns0:fillRect/>
                                </ns0:stretch>
                              </ns0:blipFill>
                              <ns0:spPr>
                                <ns0:xfrm xmlns:ns0="http://schemas.openxmlformats.org/drawingml/2006/main">
                                  <ns0:off x="0" y="0"/>
                                  <ns0:ext cx="4968000" cy="2423786"/>
                                </ns0:xfrm>
                                <ns0:prstGeom xmlns:ns0="http://schemas.openxmlformats.org/drawingml/2006/main" prst="rect">
                                  <ns0:avLst/>
                                </ns0:prstGeom>
                              </ns0:spPr>
                            </ns0:pic>
                          </ns0:graphicData>
                        </ns0:graphic>
                      </wp:inline>
                    </w:drawing>
                  </w:r>
                </w:p>
                <w:p>
                  <w:pPr>
                    <w:pStyle w:val="JournalCaption"/>
                    <w:widowControl/>
                    <w:jc w:val="center"/>
                    <w:spacing w:before="0" w:after="0" w:line="360" w:lineRule="exact"/>
                    <w:ind w:left="0" w:right="0" w:firstLine="0"/>
                    <w:snapToGrid w:val="0"/>
                  </w:pPr>
                  <w:r>
                    <w:rPr>
                      <w:rFonts w:ascii="Times New Roman" w:hAnsi="Times New Roman" w:eastAsia="宋体" w:cs="Times New Roman"/>
                      <w:b/>
                      <w:color w:val="000000"/>
                      <w:sz w:val="18"/>
                      <w:szCs w:val="18"/>
                    </w:rPr>
                    <w:t>图3 高需求预测点的MAE与平均低估误差（8次重复）</w:t>
                  </w:r>
                </w:p>
              </w:txbxContent>
            </v:textbox>
          </v:shape>
        </w:pic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图3中，本文方法在Abilene上的MAE与平均低估误差分别为0.147和0.137，在GÉANT上分别为0.632和0.577，两项均值均低于所列对照。相对DLinear，Abilene两项指标的平均相对降幅分别为13.96%和16.07%。MAE反映总体偏差，平均低估误差侧重于预测需求不足的幅度，二者共同反映了该24 h任务中高需求点估计的改善，可为容量需求分析提供参考。</w: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2.5　一周预测表现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一周预测取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=168，保持96 h输入及原有数据划分与预处理。表4所列五种模型均沿用2.1节的训练设置，按168 h输出独立训练，并在GÉANT的全部307个测试窗口上评价。</w:t>
      </w:r>
    </w:p>
    <w:p xmlns:w="http://schemas.openxmlformats.org/wordprocessingml/2006/main">
      <w:pPr>
        <w:pStyle w:val="JournalCaption"/>
        <w:widowControl/>
        <w:jc w:val="center"/>
        <w:spacing w:before="0" w:after="0" w:line="360" w:lineRule="exact"/>
        <w:ind w:left="0" w:right="0" w:firstLine="0"/>
        <w:snapToGrid w:val="0"/>
        <w:keepNext/>
      </w:pPr>
      <w:r>
        <w:rPr>
          <w:rFonts w:ascii="Times New Roman" w:hAnsi="Times New Roman" w:eastAsia="宋体" w:cs="Times New Roman"/>
          <w:b/>
          <w:color w:val="000000"/>
          <w:sz w:val="18"/>
          <w:szCs w:val="18"/>
        </w:rPr>
        <w:t>表4 GÉANT一周预测的绝对误差（8次重复）</w:t>
      </w:r>
    </w:p>
    <w:tbl xmlns:w="http://schemas.openxmlformats.org/wordprocessingml/2006/main"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28"/>
        <w:gridCol w:w="2608"/>
        <w:gridCol w:w="2608"/>
      </w:tblGrid>
      <w:tr>
        <w:trPr>
          <w:cantSplit/>
          <w:tblHeader/>
        </w:trPr>
        <w:tc>
          <w:tcPr>
            <w:tcW w:type="dxa" w:w="3628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方法</w:t>
            </w:r>
          </w:p>
        </w:tc>
        <w:tc>
          <w:tcPr>
            <w:tcW w:type="dxa" w:w="2608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MSE</w:t>
            </w:r>
          </w:p>
        </w:tc>
        <w:tc>
          <w:tcPr>
            <w:tcW w:type="dxa" w:w="2608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MAE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DLinear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1.100±0.091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0.604±0.021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固定等权多尺度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1.149±0.107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0.614±0.027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全局可学习权重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1.148±0.108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0.613±0.027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恒定输入路由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1.102±0.028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0.604±0.010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本文方法</w:t>
            </w:r>
          </w:p>
        </w:tc>
        <w:tc>
          <w:tcPr>
            <w:tcW w:type="dxa" w:w="2608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0.841±0.088</w:t>
            </w:r>
          </w:p>
        </w:tc>
        <w:tc>
          <w:tcPr>
            <w:tcW w:type="dxa" w:w="2608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0.536±0.028</w:t>
            </w:r>
          </w:p>
        </w:tc>
      </w:tr>
    </w:tbl>
    <w:p>
      <w:pPr>
        <w:pStyle w:val="JournalFigure"/>
        <w:widowControl/>
        <w:jc w:val="center"/>
        <w:spacing w:before="0" w:after="100" w:line="360" w:lineRule="auto"/>
        <w:ind w:left="0" w:right="0" w:firstLine="0"/>
        <w:snapToGrid w:val="0"/>
      </w:pPr>
      <w:r>
        <w:pict>
          <v:shape id="JournalFigureBox4" type="#_x0000_t202" style="width:391.1811pt;height:194.8446pt" stroked="f" filled="f">
            <v:textbox inset="0,0,0,0">
              <w:txbxContent>
                <w:p>
                  <w:pPr>
                    <w:pStyle w:val="JournalFigure"/>
                    <w:widowControl/>
                    <w:jc w:val="center"/>
                    <w:spacing w:before="0" w:after="0" w:line="240" w:lineRule="auto"/>
                    <w:ind w:left="0" w:right="0" w:firstLine="0"/>
                    <w:snapToGrid w:val="0"/>
                  </w:pPr>
                  <w:r>
                    <w:drawing>
                      <wp:inline>
                        <wp:extent cx="4968000" cy="2195127"/>
                        <wp:docPr id="104" name="图4" descr="Same forty GÉANT H168 model/seed rows; all five models and eight seeds; mean and sample SD unchanged."/>
                        <wp:cNvGraphicFramePr>
                          <ns0:graphicFrameLocks xmlns:ns0="http://schemas.openxmlformats.org/drawingml/2006/main" noChangeAspect="1"/>
                        </wp:cNvGraphicFramePr>
                        <ns0:graphic xmlns:ns0="http://schemas.openxmlformats.org/drawingml/2006/main">
                          <ns0:graphicData uri="http://schemas.openxmlformats.org/drawingml/2006/picture">
                            <ns0:pic xmlns:ns0="http://schemas.openxmlformats.org/drawingml/2006/picture">
                              <ns0:nvPicPr>
                                <ns0:cNvPr id="0" name="图4.png"/>
                                <ns0:cNvPicPr/>
                              </ns0:nvPicPr>
                              <ns0:blipFill>
                                <ns0:blip xmlns:ns0="http://schemas.openxmlformats.org/drawingml/2006/main" r:embed="rId22"/>
                                <ns0:stretch xmlns:ns0="http://schemas.openxmlformats.org/drawingml/2006/main">
                                  <ns0:fillRect/>
                                </ns0:stretch>
                              </ns0:blipFill>
                              <ns0:spPr>
                                <ns0:xfrm xmlns:ns0="http://schemas.openxmlformats.org/drawingml/2006/main">
                                  <ns0:off x="0" y="0"/>
                                  <ns0:ext cx="4968000" cy="2195127"/>
                                </ns0:xfrm>
                                <ns0:prstGeom xmlns:ns0="http://schemas.openxmlformats.org/drawingml/2006/main" prst="rect">
                                  <ns0:avLst/>
                                </ns0:prstGeom>
                              </ns0:spPr>
                            </ns0:pic>
                          </ns0:graphicData>
                        </ns0:graphic>
                      </wp:inline>
                    </w:drawing>
                  </w:r>
                </w:p>
                <w:p>
                  <w:pPr>
                    <w:pStyle w:val="JournalCaption"/>
                    <w:widowControl/>
                    <w:jc w:val="center"/>
                    <w:spacing w:before="0" w:after="0" w:line="360" w:lineRule="exact"/>
                    <w:ind w:left="0" w:right="0" w:firstLine="0"/>
                    <w:snapToGrid w:val="0"/>
                  </w:pPr>
                  <w:r>
                    <w:rPr>
                      <w:rFonts w:ascii="Times New Roman" w:hAnsi="Times New Roman" w:eastAsia="宋体" w:cs="Times New Roman"/>
                      <w:b/>
                      <w:color w:val="000000"/>
                      <w:sz w:val="18"/>
                      <w:szCs w:val="18"/>
                    </w:rPr>
                    <w:t>图4 GÉANT一周预测中本文方法相对各对照的误差降幅（8次重复）</w:t>
                  </w:r>
                </w:p>
              </w:txbxContent>
            </v:textbox>
          </v:shape>
        </w:pic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表4中，本文方法的平均MSE和MAE均为最优，较DLinear平均降低23.16%和11.16%。图4中，小圆点为单次配对降幅，菱形及横线为均值与样本标准差；相对每个对照，8次重复的两项误差均降低。</w:t>
      </w:r>
    </w:p>
    <w:p>
      <w:pPr>
        <w:pStyle w:val="JournalHeading1"/>
        <w:widowControl/>
        <w:jc w:val="left"/>
        <w:spacing w:before="100" w:after="100" w:line="360" w:lineRule="exact"/>
        <w:ind w:left="0" w:right="0" w:firstLine="0"/>
        <w:snapToGrid w:val="0"/>
        <w:keepNext/>
        <w:keepLines/>
        <w:outlineLvl w:val="0"/>
      </w:pPr>
      <w:r>
        <w:rPr>
          <w:rFonts w:ascii="Times New Roman" w:hAnsi="Times New Roman" w:eastAsia="宋体" w:cs="Times New Roman"/>
          <w:b/>
          <w:color w:val="000000"/>
          <w:sz w:val="24"/>
          <w:szCs w:val="24"/>
        </w:rPr>
        <w:t>3　结语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本文面向小时级骨干网流量预测，构建了由三个独立DLinear专家和低维路由网络组成的自适应多尺度模型。通过时间聚合形成不同分辨率的输入，再以四维窗口统计量计算尺度权重，实现多尺度候选预测的融合。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24 h任务的基线比较和融合消融表明，本文方法在Abilene和GÉANT上均取得了较低的平均预测误差。相对LightTS，MSE的平均相对降幅分别为25.77%和43.74%，参数量分别为对应LightTS配置的6.41%和2.17%。在GÉANT的一周任务中，MSE与MAE相对DLinear的平均相对降幅分别为23.16%和11.16%。结合高需求点的预测结果，这些实验为利用低维窗口信息融合多尺度预测提供了依据，可为小时级OD流量需求分析提供方法参考。</w:t>
      </w:r>
    </w:p>
    <w:p>
      <w:pPr>
        <w:pStyle w:val="JournalBlank"/>
        <w:widowControl/>
        <w:jc w:val="left"/>
        <w:spacing w:before="0" w:after="0" w:line="360" w:lineRule="exact"/>
        <w:ind w:left="0" w:right="0" w:firstLine="0"/>
        <w:snapToGrid w:val="0"/>
      </w:pPr>
    </w:p>
    <w:p>
      <w:pPr>
        <w:pStyle w:val="JournalReferenceHeading"/>
        <w:widowControl/>
        <w:jc w:val="left"/>
        <w:spacing w:before="0" w:after="60" w:line="360" w:lineRule="exact"/>
        <w:ind w:left="0" w:right="0" w:firstLine="0"/>
        <w:snapToGrid w:val="0"/>
        <w:keepNext/>
        <w:keepLines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参考文献：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[1] LOHRASBINASAB I, SHAHRAKI A, TAHERKORDI A, et al. From statistical- to machine learning-based network traffic prediction[J]. Transactions on Emerging Telecommunications Technologies, 2022, 33(4): e4394. DOI: 10.1002/ett.4394.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[2] QIN Liang, GU Huaxi, WEI Wenting, et al. Spatio-temporal communication network traffic prediction method based on graph neural network[J]. Information Sciences, 2024, 679: 121003. DOI: 10.1016/j.ins.2024.121003.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[3] 韦烜, 刘志华, 李青, 等. 大型IP网络流量矩阵分析预测的探讨研究[J]. 系统工程与电子技术, 2024, 46(6): 2164-2173. DOI: 10.12305/j.issn.1001-506X.2024.06.35.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[4] 唐文杰, 肖一磊, 孔祥宇, 等. CycleLLH：一种基于周期性整合的新型网络流量预测模型[J]. 计算机学报, 2024, 47(12): 2867-2888. DOI: 10.11897/SP.J.1016.2024.02867.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[5] ZHOU Jian, HAN Taotao, XIAO Fu, et al. Multiscale network traffic prediction method based on deep echo-state network for Internet of Things[J]. IEEE Internet of Things Journal, 2022, 9(21): 21862-21874. DOI: 10.1109/JIOT.2022.3181807.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[6] ZENG Ailing, CHEN Muxi, ZHANG Lei, et al. Are transformers effective for time series forecasting?[J]. Proceedings of the AAAI Conference on Artificial Intelligence, 2023, 37(9): 11121-11128. DOI: 10.1609/aaai.v37i9.26317.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[7] WANG Shiyu, WU Haixu, SHI Xiaoming, et al. TimeMixer: decomposable multiscale mixing for time series forecasting[C/OL]//The Twelfth International Conference on Learning Representations. 2024[2026-10-21]. https://openreview.net/forum?id=7oLshfEIC2.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[8] WU Haixu, HU Tengge, LIU Yong, et al. TimesNet: temporal 2D-variation modeling for general time series analysis[C/OL]//The Eleventh International Conference on Learning Representations. 2023[2026-10-21]. https://openreview.net/forum?id=ju_Uqw384Oq.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[9] KUREŠ M, KOUMAR J, HYNEK K. CESNET TS-Zoo: a library for reproducible analysis of network traffic time series[C]//2025 21st International Conference on Network and Service Management. New York: IEEE, 2025: 1-5. DOI: 10.23919/CNSM67658.2025.11297513.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[10] ZHANG Yin, ROUGHAN M, DUFFIELD N, et al. Fast accurate computation of large-scale IP traffic matrices from link loads[J]. ACM SIGMETRICS Performance Evaluation Review, 2003, 31(1): 206-217. DOI: 10.1145/885651.781053.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[11] UHLIG S, QUOITIN B, LEPROPRE J, et al. Providing public intradomain traffic matrices to the research community[J]. ACM SIGCOMM Computer Communication Review, 2006, 36(1): 83-86. DOI: 10.1145/1111322.1111341.</w:t>
      </w:r>
    </w:p>
    <w:p>
      <w:pPr>
        <w:pStyle w:val="JournalBlank"/>
        <w:widowControl/>
        <w:jc w:val="left"/>
        <w:spacing w:before="0" w:after="0" w:line="360" w:lineRule="exact"/>
        <w:ind w:left="0" w:right="0" w:firstLine="0"/>
        <w:snapToGrid w:val="0"/>
        <w:sectPr w:rsidR="00B503EC" w:rsidSect="00C96848">
          <w:footerReference w:type="default" r:id="rId16"/>
          <w:type w:val="continuous"/>
          <w:pgSz w:w="11906" w:h="16838"/>
          <w:pgMar w:top="935" w:right="746" w:bottom="779" w:left="1080" w:header="851" w:footer="331" w:gutter="0"/>
          <w:cols w:space="425"/>
          <w:titlePg/>
          <w:docGrid w:type="lines" w:linePitch="312"/>
        </w:sectPr>
      </w:pPr>
    </w:p>
    <w:p>
      <w:pPr>
        <w:pStyle w:val="Title"/>
        <w:widowControl/>
        <w:jc w:val="center"/>
        <w:spacing w:before="360" w:after="160" w:line="360" w:lineRule="exact"/>
        <w:ind w:left="0" w:right="0" w:firstLine="0"/>
        <w:snapToGrid w:val="0"/>
        <w:keepNext/>
        <w:keepLines/>
      </w:pPr>
      <w:r>
        <w:rPr>
          <w:rFonts w:ascii="Times New Roman" w:hAnsi="Times New Roman" w:eastAsia="宋体" w:cs="Times New Roman"/>
          <w:b/>
          <w:color w:val="000000"/>
          <w:sz w:val="28"/>
          <w:szCs w:val="28"/>
        </w:rPr>
        <w:t>Multivariate network traffic forecasting with adaptive multiscale weighting</w:t>
      </w:r>
    </w:p>
    <w:p>
      <w:pPr>
        <w:pStyle w:val="JournalAuthor"/>
        <w:widowControl/>
        <w:jc w:val="center"/>
        <w:spacing w:before="0" w:after="8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KE Yawen</w:t>
      </w:r>
    </w:p>
    <w:p>
      <w:pPr>
        <w:pStyle w:val="JournalAffiliation"/>
        <w:widowControl/>
        <w:jc w:val="center"/>
        <w:spacing w:before="0" w:after="12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(School of Information Engineering, Anhui Finance &amp; Trade Vocational College, Hefei Anhui 231200, China)</w:t>
      </w:r>
    </w:p>
    <w:p>
      <w:pPr>
        <w:pStyle w:val="JournalBlank"/>
        <w:widowControl/>
        <w:jc w:val="left"/>
        <w:spacing w:before="0" w:after="0" w:line="360" w:lineRule="exact"/>
        <w:ind w:left="0" w:right="0" w:firstLine="0"/>
        <w:snapToGrid w:val="0"/>
      </w:pPr>
    </w:p>
    <w:p>
      <w:pPr>
        <w:pStyle w:val="JournalAbstract"/>
        <w:widowControl/>
        <w:jc w:val="both"/>
        <w:spacing w:before="0" w:after="6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Abstract: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An adaptive multiscale weighting method forecasts hourly traffic by combining three decomposition linear models (DLinear) according to window statistics. Across eight training runs, mean relative reductions in 24-hour mean squared error versus LightTS are 25.77% on Abilene and 43.74% on GÉANT. Parameter counts are 6.41% and 2.17% of the respective LightTS configurations. Relative to DLinear, the mean shortfall at high-demand Abilene points decreases by 16.07%. For 168-hour GÉANT forecasting against DLinear, mean squared error and mean absolute error decrease by 23.16% and 11.16%, respectively. These results support capacity demand estimation using hourly traffic forecasts.</w:t>
      </w:r>
    </w:p>
    <w:p>
      <w:pPr>
        <w:pStyle w:val="JournalAbstract"/>
        <w:widowControl/>
        <w:jc w:val="both"/>
        <w:spacing w:before="0" w:after="6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Key words: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network traffic forecasting; multivariate time series; multiscale learning; adaptive weighting; decomposition linear model</w:t>
      </w:r>
    </w:p>
    <w:sectPr w:rsidR="002C04BD" w:rsidRPr="007D4868" w:rsidSect="00C96848">
      <w:type w:val="continuous"/>
      <w:pgSz w:w="11906" w:h="16838"/>
      <w:pgMar w:top="935" w:right="746" w:bottom="779" w:left="1080" w:header="851" w:footer="331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8D4024" w14:textId="77777777" w:rsidR="009C24A7" w:rsidRDefault="009C24A7">
      <w:r>
        <w:separator/>
      </w:r>
    </w:p>
  </w:endnote>
  <w:endnote w:type="continuationSeparator" w:id="0">
    <w:p w14:paraId="6CC3D12B" w14:textId="77777777" w:rsidR="009C24A7" w:rsidRDefault="009C24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fixed"/>
    <w:sig w:usb0="00000000" w:usb1="080E0000" w:usb2="00000010" w:usb3="00000000" w:csb0="00040000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CMR10">
    <w:altName w:val="方正舒体"/>
    <w:panose1 w:val="00000000000000000000"/>
    <w:charset w:val="86"/>
    <w:family w:val="auto"/>
    <w:notTrueType/>
    <w:pitch w:val="default"/>
    <w:sig w:usb0="00000003" w:usb1="080E0000" w:usb2="00000010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EF451" w14:textId="77777777" w:rsidR="0066045D" w:rsidRPr="0066045D" w:rsidRDefault="0066045D" w:rsidP="0066045D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70A998" w14:textId="77777777" w:rsidR="009C24A7" w:rsidRDefault="009C24A7">
      <w:r>
        <w:separator/>
      </w:r>
    </w:p>
  </w:footnote>
  <w:footnote w:type="continuationSeparator" w:id="0">
    <w:p w14:paraId="0A92B76C" w14:textId="77777777" w:rsidR="009C24A7" w:rsidRDefault="009C24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0FB89" w14:textId="77777777" w:rsidR="00F5270A" w:rsidRDefault="00812301" w:rsidP="00D62458">
    <w:r w:rsidRPr="00812301">
      <w:rPr>
        <w:rFonts w:hint="eastAsia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E10F69"/>
    <w:multiLevelType w:val="multilevel"/>
    <w:tmpl w:val="2B12D500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29"/>
        </w:tabs>
        <w:ind w:left="82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658"/>
        </w:tabs>
        <w:ind w:left="16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127"/>
        </w:tabs>
        <w:ind w:left="212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96"/>
        </w:tabs>
        <w:ind w:left="259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425"/>
        </w:tabs>
        <w:ind w:left="34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94"/>
        </w:tabs>
        <w:ind w:left="389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723"/>
        </w:tabs>
        <w:ind w:left="472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192"/>
        </w:tabs>
        <w:ind w:left="5192" w:hanging="1440"/>
      </w:pPr>
      <w:rPr>
        <w:rFonts w:hint="default"/>
      </w:rPr>
    </w:lvl>
  </w:abstractNum>
  <w:num w:numId="1" w16cid:durableId="513736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47468"/>
    <w:rsid w:val="00001693"/>
    <w:rsid w:val="00037586"/>
    <w:rsid w:val="000640AC"/>
    <w:rsid w:val="000676DB"/>
    <w:rsid w:val="000A691D"/>
    <w:rsid w:val="000A6F1A"/>
    <w:rsid w:val="000D16F8"/>
    <w:rsid w:val="000F6E2A"/>
    <w:rsid w:val="00110C87"/>
    <w:rsid w:val="001163ED"/>
    <w:rsid w:val="00122153"/>
    <w:rsid w:val="00135EAF"/>
    <w:rsid w:val="00142831"/>
    <w:rsid w:val="00171B66"/>
    <w:rsid w:val="001733CB"/>
    <w:rsid w:val="001800BB"/>
    <w:rsid w:val="001D3D52"/>
    <w:rsid w:val="002029BE"/>
    <w:rsid w:val="00214994"/>
    <w:rsid w:val="00235F1E"/>
    <w:rsid w:val="002634C8"/>
    <w:rsid w:val="00272E5F"/>
    <w:rsid w:val="0029334D"/>
    <w:rsid w:val="002C04BD"/>
    <w:rsid w:val="002D6A7E"/>
    <w:rsid w:val="00393010"/>
    <w:rsid w:val="003D430A"/>
    <w:rsid w:val="003F1C72"/>
    <w:rsid w:val="00403487"/>
    <w:rsid w:val="004169BF"/>
    <w:rsid w:val="00436DE0"/>
    <w:rsid w:val="00452418"/>
    <w:rsid w:val="00461317"/>
    <w:rsid w:val="004730D2"/>
    <w:rsid w:val="004B1E5C"/>
    <w:rsid w:val="004F365E"/>
    <w:rsid w:val="005526AF"/>
    <w:rsid w:val="0057648E"/>
    <w:rsid w:val="00584D30"/>
    <w:rsid w:val="0059071E"/>
    <w:rsid w:val="005C7BDA"/>
    <w:rsid w:val="00602079"/>
    <w:rsid w:val="0060584B"/>
    <w:rsid w:val="006302EC"/>
    <w:rsid w:val="00647468"/>
    <w:rsid w:val="0066045D"/>
    <w:rsid w:val="00663D8B"/>
    <w:rsid w:val="00671A80"/>
    <w:rsid w:val="00676B1F"/>
    <w:rsid w:val="0069674D"/>
    <w:rsid w:val="006C4FB9"/>
    <w:rsid w:val="006F11D1"/>
    <w:rsid w:val="00737A1F"/>
    <w:rsid w:val="007506F2"/>
    <w:rsid w:val="00754CF8"/>
    <w:rsid w:val="0079508B"/>
    <w:rsid w:val="007A31D0"/>
    <w:rsid w:val="007D1F70"/>
    <w:rsid w:val="007D4868"/>
    <w:rsid w:val="007F076F"/>
    <w:rsid w:val="00812301"/>
    <w:rsid w:val="00841FF2"/>
    <w:rsid w:val="008518DA"/>
    <w:rsid w:val="00872111"/>
    <w:rsid w:val="00875018"/>
    <w:rsid w:val="008A6131"/>
    <w:rsid w:val="008B7171"/>
    <w:rsid w:val="008E7DCB"/>
    <w:rsid w:val="008F5542"/>
    <w:rsid w:val="009212C7"/>
    <w:rsid w:val="009233D7"/>
    <w:rsid w:val="009A0CF8"/>
    <w:rsid w:val="009B5166"/>
    <w:rsid w:val="009C24A7"/>
    <w:rsid w:val="009D5E4C"/>
    <w:rsid w:val="009E6EDB"/>
    <w:rsid w:val="009F4790"/>
    <w:rsid w:val="00A13323"/>
    <w:rsid w:val="00A157F6"/>
    <w:rsid w:val="00A247E8"/>
    <w:rsid w:val="00A37E03"/>
    <w:rsid w:val="00A70C5D"/>
    <w:rsid w:val="00A82726"/>
    <w:rsid w:val="00A83477"/>
    <w:rsid w:val="00A93A55"/>
    <w:rsid w:val="00AB5E67"/>
    <w:rsid w:val="00AD4061"/>
    <w:rsid w:val="00B009B8"/>
    <w:rsid w:val="00B503EC"/>
    <w:rsid w:val="00B959C6"/>
    <w:rsid w:val="00BA14F9"/>
    <w:rsid w:val="00BD23E5"/>
    <w:rsid w:val="00BF46A0"/>
    <w:rsid w:val="00BF6718"/>
    <w:rsid w:val="00BF7A06"/>
    <w:rsid w:val="00C044A7"/>
    <w:rsid w:val="00C42E18"/>
    <w:rsid w:val="00C620BA"/>
    <w:rsid w:val="00C77BAE"/>
    <w:rsid w:val="00C96848"/>
    <w:rsid w:val="00CD1B87"/>
    <w:rsid w:val="00D2777A"/>
    <w:rsid w:val="00D30A5E"/>
    <w:rsid w:val="00D36748"/>
    <w:rsid w:val="00D413CD"/>
    <w:rsid w:val="00D46886"/>
    <w:rsid w:val="00D502E3"/>
    <w:rsid w:val="00D56244"/>
    <w:rsid w:val="00D60F58"/>
    <w:rsid w:val="00D62458"/>
    <w:rsid w:val="00D918B7"/>
    <w:rsid w:val="00D9349A"/>
    <w:rsid w:val="00DD2EC2"/>
    <w:rsid w:val="00E00276"/>
    <w:rsid w:val="00E0117E"/>
    <w:rsid w:val="00E103EE"/>
    <w:rsid w:val="00E144A9"/>
    <w:rsid w:val="00E618C1"/>
    <w:rsid w:val="00E85501"/>
    <w:rsid w:val="00EE72BE"/>
    <w:rsid w:val="00EE7351"/>
    <w:rsid w:val="00EF7B58"/>
    <w:rsid w:val="00F05DC0"/>
    <w:rsid w:val="00F07F0C"/>
    <w:rsid w:val="00F163BB"/>
    <w:rsid w:val="00F265EE"/>
    <w:rsid w:val="00F30606"/>
    <w:rsid w:val="00F335A3"/>
    <w:rsid w:val="00F5270A"/>
    <w:rsid w:val="00F752A9"/>
    <w:rsid w:val="00F91DC5"/>
    <w:rsid w:val="00F922F8"/>
    <w:rsid w:val="00FB6265"/>
    <w:rsid w:val="00FC41A1"/>
    <w:rsid w:val="00FF2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martTagType w:namespaceuri="urn:schemas-microsoft-com:office:smarttags" w:name="chsdate"/>
  <w:shapeDefaults>
    <o:shapedefaults v:ext="edit" spidmax="2058"/>
    <o:shapelayout v:ext="edit">
      <o:idmap v:ext="edit" data="2"/>
    </o:shapelayout>
  </w:shapeDefaults>
  <w:decimalSymbol w:val="."/>
  <w:listSeparator w:val=","/>
  <w14:docId w14:val="48B729DC"/>
  <w15:chartTrackingRefBased/>
  <w15:docId w15:val="{45DC4439-A8C3-47DF-B65D-661AFFB54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D918B7"/>
    <w:pPr>
      <w:keepNext/>
      <w:ind w:firstLineChars="100" w:firstLine="241"/>
      <w:outlineLvl w:val="0"/>
    </w:pPr>
    <w:rPr>
      <w:b/>
      <w:bCs/>
      <w:sz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Plain Text"/>
    <w:basedOn w:val="a"/>
    <w:rsid w:val="00D502E3"/>
    <w:rPr>
      <w:rFonts w:ascii="宋体" w:hAnsi="Courier New" w:cs="Courier New"/>
      <w:szCs w:val="21"/>
    </w:rPr>
  </w:style>
  <w:style w:type="paragraph" w:styleId="a4">
    <w:name w:val="endnote text"/>
    <w:basedOn w:val="a"/>
    <w:semiHidden/>
    <w:rsid w:val="00D918B7"/>
    <w:pPr>
      <w:snapToGrid w:val="0"/>
      <w:jc w:val="left"/>
    </w:pPr>
  </w:style>
  <w:style w:type="paragraph" w:styleId="a5">
    <w:name w:val="footnote text"/>
    <w:basedOn w:val="a"/>
    <w:semiHidden/>
    <w:rsid w:val="00A82726"/>
    <w:pPr>
      <w:snapToGrid w:val="0"/>
      <w:jc w:val="left"/>
    </w:pPr>
    <w:rPr>
      <w:sz w:val="18"/>
      <w:szCs w:val="18"/>
    </w:rPr>
  </w:style>
  <w:style w:type="character" w:styleId="a6">
    <w:name w:val="footnote reference"/>
    <w:basedOn w:val="a0"/>
    <w:semiHidden/>
    <w:rsid w:val="00A82726"/>
    <w:rPr>
      <w:vertAlign w:val="superscript"/>
    </w:rPr>
  </w:style>
  <w:style w:type="paragraph" w:styleId="a7">
    <w:name w:val="header"/>
    <w:basedOn w:val="a"/>
    <w:link w:val="Char"/>
    <w:uiPriority w:val="99"/>
    <w:rsid w:val="00D3674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footer"/>
    <w:basedOn w:val="a"/>
    <w:rsid w:val="00D3674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9">
    <w:name w:val="page number"/>
    <w:basedOn w:val="a0"/>
    <w:rsid w:val="00D36748"/>
  </w:style>
  <w:style w:type="character" w:customStyle="1" w:styleId="simjour">
    <w:name w:val="simjour"/>
    <w:basedOn w:val="a0"/>
    <w:rsid w:val="002C04BD"/>
  </w:style>
  <w:style w:type="character" w:customStyle="1" w:styleId="longtext1">
    <w:name w:val="long_text1"/>
    <w:basedOn w:val="a0"/>
    <w:rsid w:val="002C04BD"/>
    <w:rPr>
      <w:sz w:val="20"/>
      <w:szCs w:val="20"/>
    </w:rPr>
  </w:style>
  <w:style w:type="paragraph" w:customStyle="1" w:styleId="CharCharCharCharCharCharCharCharCharCharCharCharCharCharCharChar">
    <w:name w:val=" Char Char Char Char Char Char Char Char Char Char Char Char Char Char Char Char"/>
    <w:basedOn w:val="a"/>
    <w:autoRedefine/>
    <w:rsid w:val="002C04BD"/>
    <w:pPr>
      <w:tabs>
        <w:tab w:val="num" w:pos="360"/>
      </w:tabs>
    </w:pPr>
    <w:rPr>
      <w:sz w:val="24"/>
    </w:rPr>
  </w:style>
  <w:style w:type="character" w:customStyle="1" w:styleId="Char">
    <w:name w:val="页眉 Char"/>
    <w:basedOn w:val="a0"/>
    <w:link w:val="a7"/>
    <w:uiPriority w:val="99"/>
    <w:rsid w:val="00F5270A"/>
    <w:rPr>
      <w:kern w:val="2"/>
      <w:sz w:val="18"/>
      <w:szCs w:val="18"/>
    </w:rPr>
  </w:style>
  <w:style w:type="paragraph" w:styleId="aa">
    <w:name w:val="Balloon Text"/>
    <w:basedOn w:val="a"/>
    <w:link w:val="Char0"/>
    <w:rsid w:val="00F5270A"/>
    <w:rPr>
      <w:sz w:val="18"/>
      <w:szCs w:val="18"/>
    </w:rPr>
  </w:style>
  <w:style w:type="character" w:customStyle="1" w:styleId="Char0">
    <w:name w:val="批注框文本 Char"/>
    <w:basedOn w:val="a0"/>
    <w:link w:val="aa"/>
    <w:rsid w:val="00F5270A"/>
    <w:rPr>
      <w:kern w:val="2"/>
      <w:sz w:val="18"/>
      <w:szCs w:val="18"/>
    </w:rPr>
  </w:style>
  <w:style w:type="character" w:styleId="ab">
    <w:name w:val="Hyperlink"/>
    <w:basedOn w:val="a0"/>
    <w:rsid w:val="00D62458"/>
    <w:rPr>
      <w:color w:val="0000FF"/>
      <w:u w:val="single"/>
    </w:rPr>
  </w:style>
  <w:style w:type="paragraph" w:styleId="Title">
    <w:name w:val="Title"/>
    <w:basedOn w:val="Normal"/>
    <w:next w:val="JournalBody"/>
    <w:pPr>
      <w:widowControl/>
      <w:jc w:val="center"/>
      <w:spacing w:before="0" w:after="160" w:line="360" w:lineRule="exact"/>
      <w:ind w:left="0" w:right="0" w:firstLine="0"/>
      <w:snapToGrid w:val="0"/>
      <w:keepNext/>
      <w:keepLines/>
    </w:pPr>
    <w:rPr>
      <w:rFonts w:ascii="Times New Roman" w:hAnsi="Times New Roman" w:eastAsia="宋体" w:cs="Times New Roman"/>
      <w:b/>
      <w:color w:val="000000"/>
      <w:sz w:val="28"/>
      <w:szCs w:val="28"/>
    </w:rPr>
  </w:style>
  <w:style w:type="paragraph" w:styleId="JournalAuthor">
    <w:name w:val="JournalAuthor"/>
    <w:basedOn w:val="Normal"/>
    <w:next w:val="JournalBody"/>
    <w:pPr>
      <w:widowControl/>
      <w:jc w:val="center"/>
      <w:spacing w:before="0" w:after="8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JournalAffiliation">
    <w:name w:val="JournalAffiliation"/>
    <w:basedOn w:val="Normal"/>
    <w:next w:val="JournalBody"/>
    <w:pPr>
      <w:widowControl/>
      <w:jc w:val="center"/>
      <w:spacing w:before="0" w:after="12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JournalMetadata">
    <w:name w:val="JournalMetadata"/>
    <w:basedOn w:val="Normal"/>
    <w:next w:val="JournalBody"/>
    <w:pPr>
      <w:widowControl/>
      <w:jc w:val="left"/>
      <w:spacing w:before="0" w:after="4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JournalAbstract">
    <w:name w:val="JournalAbstract"/>
    <w:basedOn w:val="Normal"/>
    <w:next w:val="JournalBody"/>
    <w:pPr>
      <w:widowControl/>
      <w:jc w:val="both"/>
      <w:spacing w:before="0" w:after="6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JournalBody">
    <w:name w:val="JournalBody"/>
    <w:basedOn w:val="Normal"/>
    <w:next w:val="JournalBody"/>
    <w:pPr>
      <w:widowControl/>
      <w:jc w:val="both"/>
      <w:spacing w:before="0" w:after="0" w:line="360" w:lineRule="exact"/>
      <w:ind w:left="0" w:right="0" w:firstLine="42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JournalHeading1">
    <w:name w:val="JournalHeading1"/>
    <w:basedOn w:val="Normal"/>
    <w:next w:val="JournalBody"/>
    <w:pPr>
      <w:widowControl/>
      <w:jc w:val="left"/>
      <w:spacing w:before="100" w:after="100" w:line="360" w:lineRule="exact"/>
      <w:ind w:left="0" w:right="0" w:firstLine="0"/>
      <w:snapToGrid w:val="0"/>
      <w:keepNext/>
      <w:keepLines/>
      <w:outlineLvl w:val="0"/>
    </w:pPr>
    <w:rPr>
      <w:rFonts w:ascii="Times New Roman" w:hAnsi="Times New Roman" w:eastAsia="宋体" w:cs="Times New Roman"/>
      <w:b/>
      <w:color w:val="000000"/>
      <w:sz w:val="24"/>
      <w:szCs w:val="24"/>
    </w:rPr>
  </w:style>
  <w:style w:type="paragraph" w:styleId="JournalHeading2">
    <w:name w:val="JournalHeading2"/>
    <w:basedOn w:val="Normal"/>
    <w:next w:val="JournalBody"/>
    <w:pPr>
      <w:widowControl/>
      <w:jc w:val="left"/>
      <w:spacing w:before="60" w:after="60" w:line="360" w:lineRule="exact"/>
      <w:ind w:left="0" w:right="0" w:firstLine="0"/>
      <w:snapToGrid w:val="0"/>
      <w:keepNext/>
      <w:keepLines/>
      <w:outlineLvl w:val="1"/>
    </w:pPr>
    <w:rPr>
      <w:rFonts w:ascii="Times New Roman" w:hAnsi="Times New Roman" w:eastAsia="宋体" w:cs="Times New Roman"/>
      <w:b/>
      <w:color w:val="000000"/>
      <w:sz w:val="21"/>
      <w:szCs w:val="21"/>
    </w:rPr>
  </w:style>
  <w:style w:type="paragraph" w:styleId="JournalCaption">
    <w:name w:val="JournalCaption"/>
    <w:basedOn w:val="Normal"/>
    <w:next w:val="JournalBody"/>
    <w:pPr>
      <w:widowControl/>
      <w:jc w:val="center"/>
      <w:spacing w:before="0" w:after="0" w:line="360" w:lineRule="exact"/>
      <w:ind w:left="0" w:right="0" w:firstLine="0"/>
      <w:snapToGrid w:val="0"/>
    </w:pPr>
    <w:rPr>
      <w:rFonts w:ascii="Times New Roman" w:hAnsi="Times New Roman" w:eastAsia="宋体" w:cs="Times New Roman"/>
      <w:b/>
      <w:color w:val="000000"/>
      <w:sz w:val="18"/>
      <w:szCs w:val="18"/>
    </w:rPr>
  </w:style>
  <w:style w:type="paragraph" w:styleId="JournalReference">
    <w:name w:val="JournalReference"/>
    <w:basedOn w:val="Normal"/>
    <w:next w:val="JournalBody"/>
    <w:pPr>
      <w:widowControl/>
      <w:jc w:val="left"/>
      <w:spacing w:before="0" w:after="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JournalReferenceHeading">
    <w:name w:val="JournalReferenceHeading"/>
    <w:basedOn w:val="Normal"/>
    <w:next w:val="JournalBody"/>
    <w:pPr>
      <w:widowControl/>
      <w:jc w:val="left"/>
      <w:spacing w:before="0" w:after="60" w:line="360" w:lineRule="exact"/>
      <w:ind w:left="0" w:right="0" w:firstLine="0"/>
      <w:snapToGrid w:val="0"/>
      <w:keepNext/>
      <w:keepLines/>
    </w:pPr>
    <w:rPr>
      <w:rFonts w:ascii="Times New Roman" w:hAnsi="Times New Roman" w:eastAsia="宋体" w:cs="Times New Roman"/>
      <w:b/>
      <w:color w:val="000000"/>
      <w:sz w:val="21"/>
      <w:szCs w:val="21"/>
    </w:rPr>
  </w:style>
  <w:style w:type="paragraph" w:styleId="JournalEquation">
    <w:name w:val="JournalEquation"/>
    <w:basedOn w:val="Normal"/>
    <w:next w:val="JournalBody"/>
    <w:pPr>
      <w:widowControl/>
      <w:jc w:val="left"/>
      <w:spacing w:before="0" w:after="6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JournalFigure">
    <w:name w:val="JournalFigure"/>
    <w:basedOn w:val="Normal"/>
    <w:next w:val="JournalBody"/>
    <w:pPr>
      <w:widowControl/>
      <w:jc w:val="center"/>
      <w:spacing w:before="0" w:after="10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JournalTable">
    <w:name w:val="JournalTable"/>
    <w:basedOn w:val="Normal"/>
    <w:next w:val="JournalBody"/>
    <w:pPr>
      <w:widowControl/>
      <w:jc w:val="center"/>
      <w:spacing w:before="0" w:after="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15"/>
      <w:szCs w:val="15"/>
    </w:rPr>
  </w:style>
  <w:style w:type="paragraph" w:styleId="JournalBlank">
    <w:name w:val="JournalBlank"/>
    <w:basedOn w:val="Normal"/>
    <w:next w:val="JournalBody"/>
    <w:pPr>
      <w:widowControl/>
      <w:jc w:val="left"/>
      <w:spacing w:before="0" w:after="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cjmenet.com.cn/standard/standardnom/GBT15835-1995.htm" TargetMode="External"/><Relationship Id="rId13" Type="http://schemas.openxmlformats.org/officeDocument/2006/relationships/hyperlink" Target="http://61.139.105.144/kns50/detail.aspx?dbname=CJFD2010&amp;filename=GCRB201002025&amp;filetitle=%e4%bd%8e%e5%af%86%e5%ba%a6%e5%9b%ba%e4%bd%93%e9%a2%97%e7%b2%92%e4%b8%8e%e6%b6%b2%e4%bd%93%e6%90%85%e6%8b%8c%e6%b7%b7%e5%90%88%e8%bf%87%e7%a8%8b%e7%9a%84%e6%95%b0%e5%80%bc%e6%a8%a1%e6%8b%9f%e7%a0%94%e7%a9%b6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3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hyperlink" Target="http://61.139.105.144/kns50/Navi/Bridge.aspx?DBCode=cjfd&amp;LinkType=IssueLink&amp;Field=BaseID*year*issue&amp;TableName=CJFDYEARINFO&amp;Value=GCRB*2010*02&amp;NaviLink=%e5%b7%a5%e7%a8%8b%e7%83%ad%e7%89%a9%e7%90%86%e5%ad%a6%e6%8a%a5" TargetMode="External"/><Relationship Id="rId10" Type="http://schemas.openxmlformats.org/officeDocument/2006/relationships/oleObject" Target="embeddings/oleObject1.bin"/><Relationship Id="rId4" Type="http://schemas.openxmlformats.org/officeDocument/2006/relationships/webSettings" Target="webSettings.xml"/><Relationship Id="rId9" Type="http://schemas.openxmlformats.org/officeDocument/2006/relationships/image" Target="media/image1.wmf"/><Relationship Id="rId14" Type="http://schemas.openxmlformats.org/officeDocument/2006/relationships/hyperlink" Target="http://61.139.105.144/kns50/Navi/Bridge.aspx?DBCode=cjfd&amp;LinkType=BaseLink&amp;Field=BaseID&amp;TableName=CJFDBASEINFO&amp;NaviLink=%e5%b7%a5%e7%a8%8b%e7%83%ad%e7%89%a9%e7%90%86%e5%ad%a6%e6%8a%a5&amp;Value=GCRB" TargetMode="External"/><Relationship Id="rId19" Type="http://schemas.openxmlformats.org/officeDocument/2006/relationships/image" Target="media/journal_figure1.png"/><Relationship Id="rId20" Type="http://schemas.openxmlformats.org/officeDocument/2006/relationships/image" Target="media/journal_figure2.png"/><Relationship Id="rId21" Type="http://schemas.openxmlformats.org/officeDocument/2006/relationships/image" Target="media/journal_figure3.png"/><Relationship Id="rId22" Type="http://schemas.openxmlformats.org/officeDocument/2006/relationships/image" Target="media/journal_figur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4497</Words>
  <Characters>5700</Characters>
  <Application>Microsoft Office Word</Application>
  <DocSecurity>4</DocSecurity>
  <Lines>225</Lines>
  <Paragraphs>150</Paragraphs>
  <ScaleCrop>false</ScaleCrop>
  <Company>Sky123.Org</Company>
  <LinksUpToDate>false</LinksUpToDate>
  <CharactersWithSpaces>6068</CharactersWithSpaces>
  <SharedDoc>false</SharedDoc>
  <HLinks>
    <vt:vector size="24" baseType="variant">
      <vt:variant>
        <vt:i4>8192061</vt:i4>
      </vt:variant>
      <vt:variant>
        <vt:i4>12</vt:i4>
      </vt:variant>
      <vt:variant>
        <vt:i4>0</vt:i4>
      </vt:variant>
      <vt:variant>
        <vt:i4>5</vt:i4>
      </vt:variant>
      <vt:variant>
        <vt:lpwstr>http://61.139.105.144/kns50/Navi/Bridge.aspx?DBCode=cjfd&amp;LinkType=IssueLink&amp;Field=BaseID*year*issue&amp;TableName=CJFDYEARINFO&amp;Value=GCRB*2010*02&amp;NaviLink=%e5%b7%a5%e7%a8%8b%e7%83%ad%e7%89%a9%e7%90%86%e5%ad%a6%e6%8a%a5</vt:lpwstr>
      </vt:variant>
      <vt:variant>
        <vt:lpwstr/>
      </vt:variant>
      <vt:variant>
        <vt:i4>3604598</vt:i4>
      </vt:variant>
      <vt:variant>
        <vt:i4>9</vt:i4>
      </vt:variant>
      <vt:variant>
        <vt:i4>0</vt:i4>
      </vt:variant>
      <vt:variant>
        <vt:i4>5</vt:i4>
      </vt:variant>
      <vt:variant>
        <vt:lpwstr>http://61.139.105.144/kns50/Navi/Bridge.aspx?DBCode=cjfd&amp;LinkType=BaseLink&amp;Field=BaseID&amp;TableName=CJFDBASEINFO&amp;NaviLink=%e5%b7%a5%e7%a8%8b%e7%83%ad%e7%89%a9%e7%90%86%e5%ad%a6%e6%8a%a5&amp;Value=GCRB</vt:lpwstr>
      </vt:variant>
      <vt:variant>
        <vt:lpwstr/>
      </vt:variant>
      <vt:variant>
        <vt:i4>8257651</vt:i4>
      </vt:variant>
      <vt:variant>
        <vt:i4>6</vt:i4>
      </vt:variant>
      <vt:variant>
        <vt:i4>0</vt:i4>
      </vt:variant>
      <vt:variant>
        <vt:i4>5</vt:i4>
      </vt:variant>
      <vt:variant>
        <vt:lpwstr>http://61.139.105.144/kns50/detail.aspx?dbname=CJFD2010&amp;filename=GCRB201002025&amp;filetitle=%e4%bd%8e%e5%af%86%e5%ba%a6%e5%9b%ba%e4%bd%93%e9%a2%97%e7%b2%92%e4%b8%8e%e6%b6%b2%e4%bd%93%e6%90%85%e6%8b%8c%e6%b7%b7%e5%90%88%e8%bf%87%e7%a8%8b%e7%9a%84%e6%95%b0%e5%80%bc%e6%a8%a1%e6%8b%9f%e7%a0%94%e7%a9%b6</vt:lpwstr>
      </vt:variant>
      <vt:variant>
        <vt:lpwstr/>
      </vt:variant>
      <vt:variant>
        <vt:i4>5505091</vt:i4>
      </vt:variant>
      <vt:variant>
        <vt:i4>0</vt:i4>
      </vt:variant>
      <vt:variant>
        <vt:i4>0</vt:i4>
      </vt:variant>
      <vt:variant>
        <vt:i4>5</vt:i4>
      </vt:variant>
      <vt:variant>
        <vt:lpwstr>http://www.cjmenet.com.cn/standard/standardnom/GBT15835-1995.htm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稿件规范（1）投稿前，请认真阅读《征稿简则》和本刊的近期内容</dc:title>
  <dc:subject/>
  <dc:creator>杨跃寰</dc:creator>
  <cp:keywords/>
  <cp:lastModifiedBy>Alice Wonderland</cp:lastModifiedBy>
  <cp:revision>2</cp:revision>
  <dcterms:created xsi:type="dcterms:W3CDTF">2026-10-21T12:31:00Z</dcterms:created>
  <dcterms:modified xsi:type="dcterms:W3CDTF">2026-10-21T12:31:00Z</dcterms:modified>
</cp:coreProperties>
</file>