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3"/>
        <w:ind w:firstLine="0"/>
        <w:jc w:val="center"/>
      </w:pPr>
      <w:r>
        <w:rPr>
          <w:rFonts w:ascii="Times New Roman" w:hAnsi="Times New Roman" w:eastAsia="黑体"/>
          <w:b/>
          <w:color w:val="000000"/>
          <w:sz w:val="32"/>
        </w:rPr>
        <w:t>自适应多尺度加权的多变量网络流量预测</w:t>
      </w:r>
    </w:p>
    <w:p>
      <w:pPr>
        <w:ind w:firstLine="0"/>
        <w:jc w:val="center"/>
      </w:pPr>
      <w:r>
        <w:rPr>
          <w:rFonts w:ascii="Times New Roman" w:hAnsi="Times New Roman" w:eastAsia="宋体"/>
          <w:b w:val="0"/>
          <w:color w:val="000000"/>
          <w:sz w:val="22"/>
        </w:rPr>
        <w:t>柯亚文</w:t>
      </w:r>
    </w:p>
    <w:p>
      <w:pPr>
        <w:ind w:firstLine="0"/>
        <w:jc w:val="center"/>
      </w:pPr>
      <w:r>
        <w:rPr>
          <w:rFonts w:ascii="Times New Roman" w:hAnsi="Times New Roman" w:eastAsia="宋体"/>
          <w:b w:val="0"/>
          <w:color w:val="000000"/>
          <w:sz w:val="19"/>
        </w:rPr>
        <w:t>（安徽财贸职业学院 信息工程学院，安徽 合肥 231200）</w:t>
      </w:r>
    </w:p>
    <w:p>
      <w:r>
        <w:rPr>
          <w:rFonts w:ascii="Times New Roman" w:hAnsi="Times New Roman" w:eastAsia="宋体"/>
          <w:b w:val="0"/>
          <w:color w:val="000000"/>
          <w:sz w:val="21"/>
        </w:rPr>
        <w:t>摘要：针对小时级网络流量的多尺度变化，提出自适应加权预测方法。采用三个分解线性模型（DLinear）处理不同时间尺度，并根据四维窗口统计量计算融合权重。在Abilene和GÉANT上，以96 h历史预测未来24 h，八种子平均均方误差较DLinear分别降低2.77%和2.35%。模型共含8339个参数，其中路由网络为131个。结果表明，该方法改善了所设任务的平均预测精度。</w:t>
      </w:r>
    </w:p>
    <w:p>
      <w:r>
        <w:rPr>
          <w:rFonts w:ascii="Times New Roman" w:hAnsi="Times New Roman" w:eastAsia="宋体"/>
          <w:b w:val="0"/>
          <w:color w:val="000000"/>
          <w:sz w:val="21"/>
        </w:rPr>
        <w:t>关键词：网络流量预测；多变量时间序列；多尺度学习；自适应加权；分解线性模型</w:t>
      </w:r>
    </w:p>
    <w:p>
      <w:pPr>
        <w:ind w:firstLine="0"/>
        <w:jc w:val="center"/>
      </w:pPr>
      <w:r>
        <w:rPr>
          <w:rFonts w:ascii="Times New Roman" w:hAnsi="Times New Roman" w:eastAsia="黑体"/>
          <w:b/>
          <w:color w:val="000000"/>
          <w:sz w:val="24"/>
        </w:rPr>
        <w:t>Multivariate Network Traffic Forecasting with Adaptive Multiscale Weighting</w:t>
      </w:r>
    </w:p>
    <w:p>
      <w:pPr>
        <w:ind w:firstLine="0"/>
        <w:jc w:val="center"/>
      </w:pPr>
      <w:r>
        <w:rPr>
          <w:rFonts w:ascii="Times New Roman" w:hAnsi="Times New Roman" w:eastAsia="宋体"/>
          <w:b w:val="0"/>
          <w:color w:val="000000"/>
          <w:sz w:val="20"/>
        </w:rPr>
        <w:t>KE Yawen</w:t>
      </w:r>
    </w:p>
    <w:p>
      <w:pPr>
        <w:ind w:firstLine="0"/>
        <w:jc w:val="center"/>
      </w:pPr>
      <w:r>
        <w:rPr>
          <w:rFonts w:ascii="Times New Roman" w:hAnsi="Times New Roman" w:eastAsia="宋体"/>
          <w:b w:val="0"/>
          <w:color w:val="000000"/>
          <w:sz w:val="18"/>
        </w:rPr>
        <w:t>(School of Information Engineering, Anhui Finance &amp; Trade Vocational College, Hefei Anhui 231200, China)</w:t>
      </w:r>
    </w:p>
    <w:p>
      <w:r>
        <w:rPr>
          <w:rFonts w:ascii="Times New Roman" w:hAnsi="Times New Roman" w:eastAsia="宋体"/>
          <w:b w:val="0"/>
          <w:color w:val="000000"/>
          <w:sz w:val="20"/>
        </w:rPr>
        <w:t>Abstract: An adaptive weighting method is proposed to capture multiscale variations in hourly network traffic. Three decomposition linear models (DLinear) process historical sequences at different temporal resolutions, and four window statistics are used to compute their fusion weights. Experiments on Abilene and GÉANT use 96 hours of history to predict the next 24 hours. Across eight random seeds, the mean seed-wise reductions in mean squared error relative to DLinear are 2.77% and 2.35%, respectively. The model contains 8,339 parameters, including 131 routing parameters. The results show improved average forecasting accuracy in the evaluated task.</w:t>
      </w:r>
    </w:p>
    <w:p>
      <w:r>
        <w:rPr>
          <w:rFonts w:ascii="Times New Roman" w:hAnsi="Times New Roman" w:eastAsia="宋体"/>
          <w:b w:val="0"/>
          <w:color w:val="000000"/>
          <w:sz w:val="20"/>
        </w:rPr>
        <w:t>Key words: network traffic forecasting; multivariate time series; multiscale learning; adaptive weighting; decomposition linear model</w:t>
      </w:r>
    </w:p>
    <w:p>
      <w:r>
        <w:rPr>
          <w:rFonts w:ascii="Times New Roman" w:hAnsi="Times New Roman" w:eastAsia="宋体"/>
          <w:b w:val="0"/>
          <w:color w:val="000000"/>
          <w:sz w:val="21"/>
        </w:rPr>
        <w:t>中图分类号：TP393　　文献标志码：A</w:t>
      </w:r>
    </w:p>
    <w:p>
      <w:pPr>
        <w:pStyle w:val="1"/>
      </w:pPr>
      <w:r>
        <w:rPr>
          <w:rFonts w:ascii="Times New Roman" w:hAnsi="Times New Roman" w:eastAsia="黑体"/>
          <w:b/>
          <w:color w:val="000000"/>
          <w:sz w:val="24"/>
        </w:rPr>
        <w:t>0 引言</w:t>
      </w:r>
    </w:p>
    <w:p>
      <w:r>
        <w:rPr>
          <w:rFonts w:ascii="Times New Roman" w:hAnsi="Times New Roman" w:eastAsia="宋体"/>
          <w:b w:val="0"/>
          <w:color w:val="000000"/>
          <w:sz w:val="21"/>
        </w:rPr>
        <w:t>骨干网的容量配置与资源管理需要估计未来的通信需求，而源—目的节点对（origin-destination，OD）的流量预测能够为需求分析提供数据依据。小时级OD流量既包含局部波动，也呈现较慢的趋势变化；同时，不同变量的量级和变化节奏存在差异。因此，预测模型需要从历史序列中提取不同时间尺度的信息，并将其转化为未来多个时刻的预测结果。</w:t>
      </w:r>
    </w:p>
    <w:p>
      <w:r>
        <w:rPr>
          <w:rFonts w:ascii="Times New Roman" w:hAnsi="Times New Roman" w:eastAsia="宋体"/>
          <w:b w:val="0"/>
          <w:color w:val="000000"/>
          <w:sz w:val="21"/>
        </w:rPr>
        <w:t>围绕网络流量预测，已有研究从时间依赖、变量关联与周期结构等方面开展探索。Lohrasbinasab等</w:t>
      </w:r>
      <w:r>
        <w:rPr>
          <w:rFonts w:ascii="Times New Roman" w:hAnsi="Times New Roman" w:eastAsia="宋体"/>
          <w:b w:val="0"/>
          <w:color w:val="000000"/>
          <w:sz w:val="21"/>
          <w:vertAlign w:val="superscript"/>
        </w:rPr>
        <w:t>[1]</w:t>
      </w:r>
      <w:r>
        <w:rPr>
          <w:rFonts w:ascii="Times New Roman" w:hAnsi="Times New Roman" w:eastAsia="宋体"/>
          <w:b w:val="0"/>
          <w:color w:val="000000"/>
          <w:sz w:val="21"/>
        </w:rPr>
        <w:t>总结了统计方法和机器学习方法的研究进展；Qin等</w:t>
      </w:r>
      <w:r>
        <w:rPr>
          <w:rFonts w:ascii="Times New Roman" w:hAnsi="Times New Roman" w:eastAsia="宋体"/>
          <w:b w:val="0"/>
          <w:color w:val="000000"/>
          <w:sz w:val="21"/>
          <w:vertAlign w:val="superscript"/>
        </w:rPr>
        <w:t>[2]</w:t>
      </w:r>
      <w:r>
        <w:rPr>
          <w:rFonts w:ascii="Times New Roman" w:hAnsi="Times New Roman" w:eastAsia="宋体"/>
          <w:b w:val="0"/>
          <w:color w:val="000000"/>
          <w:sz w:val="21"/>
        </w:rPr>
        <w:t>利用图神经网络建模时空关联，韦烜等</w:t>
      </w:r>
      <w:r>
        <w:rPr>
          <w:rFonts w:ascii="Times New Roman" w:hAnsi="Times New Roman" w:eastAsia="宋体"/>
          <w:b w:val="0"/>
          <w:color w:val="000000"/>
          <w:sz w:val="21"/>
          <w:vertAlign w:val="superscript"/>
        </w:rPr>
        <w:t>[3]</w:t>
      </w:r>
      <w:r>
        <w:rPr>
          <w:rFonts w:ascii="Times New Roman" w:hAnsi="Times New Roman" w:eastAsia="宋体"/>
          <w:b w:val="0"/>
          <w:color w:val="000000"/>
          <w:sz w:val="21"/>
        </w:rPr>
        <w:t>讨论了大型IP网络流量矩阵的变量关系与时间变化，唐文杰等</w:t>
      </w:r>
      <w:r>
        <w:rPr>
          <w:rFonts w:ascii="Times New Roman" w:hAnsi="Times New Roman" w:eastAsia="宋体"/>
          <w:b w:val="0"/>
          <w:color w:val="000000"/>
          <w:sz w:val="21"/>
          <w:vertAlign w:val="superscript"/>
        </w:rPr>
        <w:t>[4]</w:t>
      </w:r>
      <w:r>
        <w:rPr>
          <w:rFonts w:ascii="Times New Roman" w:hAnsi="Times New Roman" w:eastAsia="宋体"/>
          <w:b w:val="0"/>
          <w:color w:val="000000"/>
          <w:sz w:val="21"/>
        </w:rPr>
        <w:t>则通过周期性整合组织流量信息。这些研究为流量序列的结构建模提供了不同思路。</w:t>
      </w:r>
    </w:p>
    <w:p>
      <w:r>
        <w:rPr>
          <w:rFonts w:ascii="Times New Roman" w:hAnsi="Times New Roman" w:eastAsia="宋体"/>
          <w:b w:val="0"/>
          <w:color w:val="000000"/>
          <w:sz w:val="21"/>
        </w:rPr>
        <w:t>在时间结构建模方面，Zhou等</w:t>
      </w:r>
      <w:r>
        <w:rPr>
          <w:rFonts w:ascii="Times New Roman" w:hAnsi="Times New Roman" w:eastAsia="宋体"/>
          <w:b w:val="0"/>
          <w:color w:val="000000"/>
          <w:sz w:val="21"/>
          <w:vertAlign w:val="superscript"/>
        </w:rPr>
        <w:t>[5]</w:t>
      </w:r>
      <w:r>
        <w:rPr>
          <w:rFonts w:ascii="Times New Roman" w:hAnsi="Times New Roman" w:eastAsia="宋体"/>
          <w:b w:val="0"/>
          <w:color w:val="000000"/>
          <w:sz w:val="21"/>
        </w:rPr>
        <w:t>通过深度回声状态网络开展多尺度流量预测。分解线性模型（decomposition linear model，DLinear）</w:t>
      </w:r>
      <w:r>
        <w:rPr>
          <w:rFonts w:ascii="Times New Roman" w:hAnsi="Times New Roman" w:eastAsia="宋体"/>
          <w:b w:val="0"/>
          <w:color w:val="000000"/>
          <w:sz w:val="21"/>
          <w:vertAlign w:val="superscript"/>
        </w:rPr>
        <w:t>[6]</w:t>
      </w:r>
      <w:r>
        <w:rPr>
          <w:rFonts w:ascii="Times New Roman" w:hAnsi="Times New Roman" w:eastAsia="宋体"/>
          <w:b w:val="0"/>
          <w:color w:val="000000"/>
          <w:sz w:val="21"/>
        </w:rPr>
        <w:t>将趋势项和余项分别映射至预测区间，TimeMixer</w:t>
      </w:r>
      <w:r>
        <w:rPr>
          <w:rFonts w:ascii="Times New Roman" w:hAnsi="Times New Roman" w:eastAsia="宋体"/>
          <w:b w:val="0"/>
          <w:color w:val="000000"/>
          <w:sz w:val="21"/>
          <w:vertAlign w:val="superscript"/>
        </w:rPr>
        <w:t>[7]</w:t>
      </w:r>
      <w:r>
        <w:rPr>
          <w:rFonts w:ascii="Times New Roman" w:hAnsi="Times New Roman" w:eastAsia="宋体"/>
          <w:b w:val="0"/>
          <w:color w:val="000000"/>
          <w:sz w:val="21"/>
        </w:rPr>
        <w:t>采用可分解多尺度混合，LightTS</w:t>
      </w:r>
      <w:r>
        <w:rPr>
          <w:rFonts w:ascii="Times New Roman" w:hAnsi="Times New Roman" w:eastAsia="宋体"/>
          <w:b w:val="0"/>
          <w:color w:val="000000"/>
          <w:sz w:val="21"/>
          <w:vertAlign w:val="superscript"/>
        </w:rPr>
        <w:t>[8]</w:t>
      </w:r>
      <w:r>
        <w:rPr>
          <w:rFonts w:ascii="Times New Roman" w:hAnsi="Times New Roman" w:eastAsia="宋体"/>
          <w:b w:val="0"/>
          <w:color w:val="000000"/>
          <w:sz w:val="21"/>
        </w:rPr>
        <w:t>则通过采样导向的多层感知器处理多变量序列。随着不同时间分辨率的信息被引入模型，各尺度预测如何根据当前历史窗口进行融合，成为进一步改善预测误差的一个切入点。</w:t>
      </w:r>
    </w:p>
    <w:p>
      <w:r>
        <w:rPr>
          <w:rFonts w:ascii="Times New Roman" w:hAnsi="Times New Roman" w:eastAsia="宋体"/>
          <w:b w:val="0"/>
          <w:color w:val="000000"/>
          <w:sz w:val="21"/>
        </w:rPr>
        <w:t>基于上述思路，本文提出自适应多尺度加权的网络流量预测方法。首先，通过时间聚合构造三种分辨率的输入，并由独立DLinear专家生成候选预测；随后，利用窗口统计量计算尺度权重，完成样本级融合。在Abilene和GÉANT上，以过去96 h预测未来24 h，通过基线比较、融合消融及周期参照评价该方法的预测效果。</w:t>
      </w:r>
    </w:p>
    <w:p>
      <w:pPr>
        <w:pStyle w:val="1"/>
      </w:pPr>
      <w:r>
        <w:rPr>
          <w:rFonts w:ascii="Times New Roman" w:hAnsi="Times New Roman" w:eastAsia="黑体"/>
          <w:b/>
          <w:color w:val="000000"/>
          <w:sz w:val="24"/>
        </w:rPr>
        <w:t>1 自适应多尺度网络流量预测方法</w:t>
      </w:r>
    </w:p>
    <w:p>
      <w:r>
        <w:rPr>
          <w:rFonts w:ascii="Times New Roman" w:hAnsi="Times New Roman" w:eastAsia="宋体"/>
          <w:b w:val="0"/>
          <w:color w:val="000000"/>
          <w:sz w:val="21"/>
        </w:rPr>
        <w:t>所提方法由多尺度预测分支和尺度路由分支组成，整体流程如图1所示。预测分支提取不同时间分辨率下的趋势与余项，路由分支则根据当前窗口的统计特征分配尺度权重。两条分支共同作用，输出未来24 h的逐小时OD流量预测。</w:t>
      </w:r>
    </w:p>
    <w:p>
      <w:pPr>
        <w:keepNext/>
        <w:spacing w:before="80" w:after="40"/>
        <w:ind w:firstLine="0"/>
        <w:jc w:val="center"/>
      </w:pPr>
      <w:r>
        <w:drawing>
          <wp:inline xmlns:a="http://schemas.openxmlformats.org/drawingml/2006/main" xmlns:pic="http://schemas.openxmlformats.org/drawingml/2006/picture">
            <wp:extent cx="4968000" cy="2593751"/>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4968000" cy="2593751"/>
                    </a:xfrm>
                    <a:prstGeom prst="rect"/>
                  </pic:spPr>
                </pic:pic>
              </a:graphicData>
            </a:graphic>
          </wp:inline>
        </w:drawing>
      </w:r>
    </w:p>
    <w:p>
      <w:pPr>
        <w:keepNext w:val="0"/>
        <w:spacing w:after="100"/>
        <w:ind w:firstLine="0"/>
        <w:jc w:val="center"/>
      </w:pPr>
      <w:r>
        <w:rPr>
          <w:rFonts w:ascii="Times New Roman" w:hAnsi="Times New Roman" w:eastAsia="黑体"/>
          <w:b/>
          <w:color w:val="000000"/>
          <w:sz w:val="18"/>
        </w:rPr>
        <w:t>图1 自适应多尺度网络流量预测框架</w:t>
      </w:r>
    </w:p>
    <w:p>
      <w:pPr>
        <w:pStyle w:val="2"/>
      </w:pPr>
      <w:r>
        <w:rPr>
          <w:rFonts w:ascii="Times New Roman" w:hAnsi="Times New Roman" w:eastAsia="黑体"/>
          <w:b/>
          <w:color w:val="000000"/>
          <w:sz w:val="22"/>
        </w:rPr>
        <w:t>1.1 数据表示与预处理</w:t>
      </w:r>
    </w:p>
    <w:p>
      <w:pPr>
        <w:keepNext/>
      </w:pPr>
      <w:r>
        <w:rPr>
          <w:rFonts w:ascii="Times New Roman" w:hAnsi="Times New Roman" w:eastAsia="宋体"/>
          <w:b w:val="0"/>
          <w:color w:val="000000"/>
          <w:sz w:val="21"/>
        </w:rPr>
        <w:t>记预处理后的多变量流量向量为xₜ，包含C个OD变量。沿时间轴构造滑动窗口，第n个样本由长度为L的历史输入Xₙ和其后长度为H的目标Yₙ组成。矩阵的行对应时间点，列对应OD变量，分别表示为</w:t>
      </w:r>
    </w:p>
    <w:p w14:paraId="6F17DC21"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pPr>
        <w:keepNext/>
      </w:pPr>
      <w:r>
        <w:rPr>
          <w:rFonts w:ascii="Times New Roman" w:hAnsi="Times New Roman" w:eastAsia="宋体"/>
          <w:b w:val="0"/>
          <w:color w:val="000000"/>
          <w:sz w:val="21"/>
        </w:rPr>
        <w:t>本文取L=96、H=24。由于原始流量非负且变量量级不同，先对原始流量进行自然对数变换，再按变量进行标准化：</w:t>
      </w:r>
    </w:p>
    <w:p w14:paraId="707F6E5C"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4DE62A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r>
        <w:rPr>
          <w:rFonts w:ascii="Times New Roman" w:hAnsi="Times New Roman" w:eastAsia="宋体"/>
          <w:b w:val="0"/>
          <w:color w:val="000000"/>
          <w:sz w:val="21"/>
        </w:rPr>
        <w:t>式中，v为原始流量，u为对数变换后的流量；下标t、c分别表示时间与变量，上标tr表示训练集统计量，μ与σ分别为对应变量的均值和标准差。验证集与测试集沿用训练统计量。数据首先按时间顺序划分，再在各子集中独立生成滑动窗口，使输入与目标均位于对应时间段内。</w:t>
      </w:r>
    </w:p>
    <w:p>
      <w:pPr>
        <w:pStyle w:val="2"/>
      </w:pPr>
      <w:r>
        <w:rPr>
          <w:rFonts w:ascii="Times New Roman" w:hAnsi="Times New Roman" w:eastAsia="黑体"/>
          <w:b/>
          <w:color w:val="000000"/>
          <w:sz w:val="22"/>
        </w:rPr>
        <w:t>1.2 多尺度构造与线性专家</w:t>
      </w:r>
    </w:p>
    <w:p>
      <w:pPr>
        <w:keepNext/>
      </w:pPr>
      <w:r>
        <w:rPr>
          <w:rFonts w:ascii="Times New Roman" w:hAnsi="Times New Roman" w:eastAsia="宋体"/>
          <w:b w:val="0"/>
          <w:color w:val="000000"/>
          <w:sz w:val="21"/>
        </w:rPr>
        <w:t>为了在同一历史范围内兼顾局部变化与平滑趋势，设置尺度集合S={1,2,4}。对历史输入沿时间维进行非重叠平均池化，聚合长度与步长均为s，得到</w:t>
      </w:r>
    </w:p>
    <w:p w14:paraId="3080208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r>
        <w:rPr>
          <w:rFonts w:ascii="Times New Roman" w:hAnsi="Times New Roman" w:eastAsia="宋体"/>
          <w:b w:val="0"/>
          <w:color w:val="000000"/>
          <w:sz w:val="21"/>
        </w:rPr>
        <w:t>式中，s∈S。尺度1保留原序列，尺度2与尺度4分别对相邻2个和4个时间点取均值，因而形成96、48和24步的输入。三个尺度使用结构相同、参数独立的DLinear专家</w:t>
      </w:r>
      <w:r>
        <w:rPr>
          <w:rFonts w:ascii="Times New Roman" w:hAnsi="Times New Roman" w:eastAsia="宋体"/>
          <w:b w:val="0"/>
          <w:color w:val="000000"/>
          <w:sz w:val="21"/>
          <w:vertAlign w:val="superscript"/>
        </w:rPr>
        <w:t>[6]</w:t>
      </w:r>
      <w:r>
        <w:rPr>
          <w:rFonts w:ascii="Times New Roman" w:hAnsi="Times New Roman" w:eastAsia="宋体"/>
          <w:b w:val="0"/>
          <w:color w:val="000000"/>
          <w:sz w:val="21"/>
        </w:rPr>
        <w:t>，并统一输出H步预测。</w:t>
      </w:r>
    </w:p>
    <w:p>
      <w:pPr>
        <w:keepNext/>
      </w:pPr>
      <w:r>
        <w:rPr>
          <w:rFonts w:ascii="Times New Roman" w:hAnsi="Times New Roman" w:eastAsia="宋体"/>
          <w:b w:val="0"/>
          <w:color w:val="000000"/>
          <w:sz w:val="21"/>
        </w:rPr>
        <w:t>在每个尺度上，采用长度q=25的中心移动平均提取趋势项，序列两端通过复制端点补齐。设m=12，补齐后的输入参与下式计算：</w:t>
      </w:r>
    </w:p>
    <w:p w14:paraId="414FF6C3"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pPr>
        <w:keepNext/>
      </w:pPr>
      <w:r>
        <w:rPr>
          <w:rFonts w:ascii="Times New Roman" w:hAnsi="Times New Roman" w:eastAsia="宋体"/>
          <w:b w:val="0"/>
          <w:color w:val="000000"/>
          <w:sz w:val="21"/>
        </w:rPr>
        <w:t>式中，带波浪号的X表示端点补齐序列，T与R分别表示趋势项和余项。随后，两个线性层沿时间维分别完成映射，并将其输出相加，得到尺度s的预测：</w:t>
      </w:r>
    </w:p>
    <w:p w14:paraId="7AF0577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r>
        <w:rPr>
          <w:rFonts w:ascii="Times New Roman" w:hAnsi="Times New Roman" w:eastAsia="宋体"/>
          <w:b w:val="0"/>
          <w:color w:val="000000"/>
          <w:sz w:val="21"/>
        </w:rPr>
        <w:t>式中，W与b分别为线性层的权重和偏置，下标T、R表示对应分量。各权重矩阵的维度为H×(L/s)，偏置为H维，并在OD变量之间共享。由此，各尺度输出均为H×C，可直接进行后续融合。</w:t>
      </w:r>
    </w:p>
    <w:p>
      <w:pPr>
        <w:pStyle w:val="2"/>
      </w:pPr>
      <w:r>
        <w:rPr>
          <w:rFonts w:ascii="Times New Roman" w:hAnsi="Times New Roman" w:eastAsia="黑体"/>
          <w:b/>
          <w:color w:val="000000"/>
          <w:sz w:val="22"/>
        </w:rPr>
        <w:t>1.3 窗口统计特征与自适应加权</w:t>
      </w:r>
    </w:p>
    <w:p>
      <w:pPr>
        <w:keepNext/>
      </w:pPr>
      <w:r>
        <w:rPr>
          <w:rFonts w:ascii="Times New Roman" w:hAnsi="Times New Roman" w:eastAsia="宋体"/>
          <w:b w:val="0"/>
          <w:color w:val="000000"/>
          <w:sz w:val="21"/>
        </w:rPr>
        <w:t>完成各尺度预测后，路由分支从原始时间分辨率的预处理窗口中提取均值μₙ、标准差σₙ、末时刻均值ℓₙ和平均绝对一阶差分dₙ，组成四维特征向量zₙ。各统计量定义为</w:t>
      </w:r>
    </w:p>
    <w:p w14:paraId="31F9D3F4"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pPr>
        <w:keepNext/>
      </w:pPr>
      <w:r>
        <w:rPr>
          <w:rFonts w:ascii="Times New Roman" w:hAnsi="Times New Roman" w:eastAsia="宋体"/>
          <w:b w:val="0"/>
          <w:color w:val="000000"/>
          <w:sz w:val="21"/>
        </w:rPr>
        <w:t>均值与标准差概括窗口的整体水平和离散程度，末时刻均值反映近期状态，而平均绝对一阶差分描述相邻时刻的变化幅度。因此，路由网络能够以较低维度接收与当前窗口有关的信息，并据此计算尺度分数：</w:t>
      </w:r>
    </w:p>
    <w:p w14:paraId="528ACD1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pPr>
        <w:keepNext/>
      </w:pPr>
      <w:r>
        <w:rPr>
          <w:rFonts w:ascii="Times New Roman" w:hAnsi="Times New Roman" w:eastAsia="宋体"/>
          <w:b w:val="0"/>
          <w:color w:val="000000"/>
          <w:sz w:val="21"/>
        </w:rPr>
        <w:t>式中，第一层将四维特征映射到16维隐藏层，经修正线性单元（rectified linear unit，ReLU）激活后，第二层输出三个尺度分数。两层权重矩阵分别为16×4和3×16，偏置分别为16维和3维。进一步采用Softmax归一化，得到</w:t>
      </w:r>
    </w:p>
    <w:p w14:paraId="2D027ED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pPr>
        <w:keepNext/>
      </w:pPr>
      <w:r>
        <w:rPr>
          <w:rFonts w:ascii="Times New Roman" w:hAnsi="Times New Roman" w:eastAsia="宋体"/>
          <w:b w:val="0"/>
          <w:color w:val="000000"/>
          <w:sz w:val="21"/>
        </w:rPr>
        <w:t>其中，αₙ,ₛ表示第n个窗口在尺度s上的融合权重。三个非负权重之和为1，并在当前窗口的全部OD变量和预测步之间共享。最终预测为</w:t>
      </w:r>
    </w:p>
    <w:p w14:paraId="4DBD2A18"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pPr>
        <w:pStyle w:val="2"/>
      </w:pPr>
      <w:r>
        <w:rPr>
          <w:rFonts w:ascii="Times New Roman" w:hAnsi="Times New Roman" w:eastAsia="黑体"/>
          <w:b/>
          <w:color w:val="000000"/>
          <w:sz w:val="22"/>
        </w:rPr>
        <w:t>1.4 模型训练与参数规模</w:t>
      </w:r>
    </w:p>
    <w:p>
      <w:pPr>
        <w:keepNext/>
      </w:pPr>
      <w:r>
        <w:rPr>
          <w:rFonts w:ascii="Times New Roman" w:hAnsi="Times New Roman" w:eastAsia="宋体"/>
          <w:b w:val="0"/>
          <w:color w:val="000000"/>
          <w:sz w:val="21"/>
        </w:rPr>
        <w:t>尺度专家与路由网络联合训练，以均方误差（mean squared error，MSE）为损失函数，对N个训练样本、H个预测步和C个变量的平方误差取平均：</w:t>
      </w:r>
    </w:p>
    <w:p w14:paraId="73383E0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pPr>
        <w:keepNext/>
      </w:pPr>
      <w:r>
        <w:rPr>
          <w:rFonts w:ascii="Times New Roman" w:hAnsi="Times New Roman" w:eastAsia="宋体"/>
          <w:b w:val="0"/>
          <w:color w:val="000000"/>
          <w:sz w:val="21"/>
        </w:rPr>
        <w:t>采用自适应矩估计（adaptive moment estimation，Adam）优化器更新参数，并依据验证集MSE选择模型。每个尺度包含两个线性层，参数量为2H(L/s+1)；路由网络参数量为4×16+16+16×3+3=131。因此，当L=96、H=24时，模型总参数量为</w:t>
      </w:r>
    </w:p>
    <w:p>
      <w:pPr>
        <w:widowControl/>
        <w:tabs>
          <w:tab w:val="center" w:pos="4819"/>
          <w:tab w:val="right" w:pos="9638"/>
        </w:tabs>
        <w:spacing w:before="40" w:after="40"/>
        <w:ind w:firstLine="0"/>
        <w:jc w:val="center"/>
        <w:rPr>
          <w:rFonts w:ascii="Cambria Math" w:eastAsia="Cambria Math" w:hAnsi="Cambria Math"/>
          <w:kern w:val="0"/>
          <w:szCs w:val="20"/>
        </w:rPr>
      </w:pPr>
      <m:oMath>
        <m:r>
          <m:t>P = </m:t>
        </m:r>
        <m:nary>
          <m:naryPr>
            <m:chr m:val="∑"/>
            <m:limLoc m:val="subSup"/>
            <m:supHide m:val="1"/>
          </m:naryPr>
          <m:sub>
            <m:r>
              <m:t>s∈S</m:t>
            </m:r>
          </m:sub>
          <m:sup/>
          <m:e>
            <m:r>
              <m:t>2H(L/s+1)</m:t>
            </m:r>
          </m:e>
        </m:nary>
        <m:r>
          <m:t> + 131 = 8339</m:t>
        </m:r>
      </m:oMath>
    </w:p>
    <w:p>
      <w:r>
        <w:rPr>
          <w:rFonts w:ascii="Times New Roman" w:hAnsi="Times New Roman" w:eastAsia="宋体"/>
          <w:b w:val="0"/>
          <w:color w:val="000000"/>
          <w:sz w:val="21"/>
        </w:rPr>
        <w:t>由于同一尺度的线性映射在变量间共享，所设任务在两套数据上均使用8339个参数。预测时，历史输入依次经过预处理、多尺度专家和自适应融合，得到标准化空间中的多步预测结果。</w:t>
      </w:r>
    </w:p>
    <w:p>
      <w:pPr>
        <w:pStyle w:val="1"/>
      </w:pPr>
      <w:r>
        <w:rPr>
          <w:rFonts w:ascii="Times New Roman" w:hAnsi="Times New Roman" w:eastAsia="黑体"/>
          <w:b/>
          <w:color w:val="000000"/>
          <w:sz w:val="24"/>
        </w:rPr>
        <w:t>2 实验与结果分析</w:t>
      </w:r>
    </w:p>
    <w:p>
      <w:pPr>
        <w:pStyle w:val="2"/>
      </w:pPr>
      <w:r>
        <w:rPr>
          <w:rFonts w:ascii="Times New Roman" w:hAnsi="Times New Roman" w:eastAsia="黑体"/>
          <w:b/>
          <w:color w:val="000000"/>
          <w:sz w:val="22"/>
        </w:rPr>
        <w:t>2.1 数据集与实验设置</w:t>
      </w:r>
    </w:p>
    <w:p>
      <w:r>
        <w:rPr>
          <w:rFonts w:ascii="Times New Roman" w:hAnsi="Times New Roman" w:eastAsia="宋体"/>
          <w:b w:val="0"/>
          <w:color w:val="000000"/>
          <w:sz w:val="21"/>
        </w:rPr>
        <w:t>实验采用CESNET TS-Zoo</w:t>
      </w:r>
      <w:r>
        <w:rPr>
          <w:rFonts w:ascii="Times New Roman" w:hAnsi="Times New Roman" w:eastAsia="宋体"/>
          <w:b w:val="0"/>
          <w:color w:val="000000"/>
          <w:sz w:val="21"/>
          <w:vertAlign w:val="superscript"/>
        </w:rPr>
        <w:t>[9]</w:t>
      </w:r>
      <w:r>
        <w:rPr>
          <w:rFonts w:ascii="Times New Roman" w:hAnsi="Times New Roman" w:eastAsia="宋体"/>
          <w:b w:val="0"/>
          <w:color w:val="000000"/>
          <w:sz w:val="21"/>
        </w:rPr>
        <w:t>中1 h粒度的Abilene</w:t>
      </w:r>
      <w:r>
        <w:rPr>
          <w:rFonts w:ascii="Times New Roman" w:hAnsi="Times New Roman" w:eastAsia="宋体"/>
          <w:b w:val="0"/>
          <w:color w:val="000000"/>
          <w:sz w:val="21"/>
          <w:vertAlign w:val="superscript"/>
        </w:rPr>
        <w:t>[10]</w:t>
      </w:r>
      <w:r>
        <w:rPr>
          <w:rFonts w:ascii="Times New Roman" w:hAnsi="Times New Roman" w:eastAsia="宋体"/>
          <w:b w:val="0"/>
          <w:color w:val="000000"/>
          <w:sz w:val="21"/>
        </w:rPr>
        <w:t>与GÉANT</w:t>
      </w:r>
      <w:r>
        <w:rPr>
          <w:rFonts w:ascii="Times New Roman" w:hAnsi="Times New Roman" w:eastAsia="宋体"/>
          <w:b w:val="0"/>
          <w:color w:val="000000"/>
          <w:sz w:val="21"/>
          <w:vertAlign w:val="superscript"/>
        </w:rPr>
        <w:t>[11]</w:t>
      </w:r>
      <w:r>
        <w:rPr>
          <w:rFonts w:ascii="Times New Roman" w:hAnsi="Times New Roman" w:eastAsia="宋体"/>
          <w:b w:val="0"/>
          <w:color w:val="000000"/>
          <w:sz w:val="21"/>
        </w:rPr>
        <w:t>流量矩阵。两套数据分别按时间顺序以6∶2∶2划分为训练集、验证集和测试集，并独立训练和评价。Abilene保留144个有效OD变量；GÉANT依据训练集标准差剔除恒定或近恒定变量后，保留524个变量。数据规模及窗口数见表1。</w:t>
      </w:r>
    </w:p>
    <w:p>
      <w:pPr>
        <w:keepNext/>
        <w:ind w:firstLine="0"/>
        <w:jc w:val="center"/>
      </w:pPr>
      <w:r>
        <w:rPr>
          <w:rFonts w:ascii="Times New Roman" w:hAnsi="Times New Roman" w:eastAsia="黑体"/>
          <w:b/>
          <w:color w:val="000000"/>
          <w:sz w:val="18"/>
        </w:rPr>
        <w:t>表1 数据集与24 h预测任务设置</w:t>
      </w:r>
    </w:p>
    <w:tbl>
      <w:tblPr>
        <w:tblW w:type="auto" w:w="0"/>
        <w:jc w:val="center"/>
        <w:tblLayout w:type="fixed"/>
        <w:tblLook w:firstColumn="1" w:firstRow="1" w:lastColumn="0" w:lastRow="0" w:noHBand="0" w:noVBand="1" w:val="04A0"/>
      </w:tblPr>
      <w:tblGrid>
        <w:gridCol w:w="1134"/>
        <w:gridCol w:w="964"/>
        <w:gridCol w:w="1077"/>
        <w:gridCol w:w="2835"/>
        <w:gridCol w:w="2835"/>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数据集</w:t>
            </w:r>
          </w:p>
        </w:tc>
        <w:tc>
          <w:tcPr>
            <w:tcW w:type="dxa" w:w="96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时间点数</w:t>
            </w:r>
          </w:p>
        </w:tc>
        <w:tc>
          <w:tcPr>
            <w:tcW w:type="dxa" w:w="1077"/>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有效变量数</w:t>
            </w:r>
          </w:p>
        </w:tc>
        <w:tc>
          <w:tcPr>
            <w:tcW w:type="dxa" w:w="2835"/>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训练/验证/测试时间点</w:t>
            </w:r>
          </w:p>
        </w:tc>
        <w:tc>
          <w:tcPr>
            <w:tcW w:type="dxa" w:w="2835"/>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训练/验证/测试窗口</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96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4656</w:t>
            </w:r>
          </w:p>
        </w:tc>
        <w:tc>
          <w:tcPr>
            <w:tcW w:type="dxa" w:w="107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144</w:t>
            </w:r>
          </w:p>
        </w:tc>
        <w:tc>
          <w:tcPr>
            <w:tcW w:type="dxa" w:w="2835"/>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2793/931/932</w:t>
            </w:r>
          </w:p>
        </w:tc>
        <w:tc>
          <w:tcPr>
            <w:tcW w:type="dxa" w:w="2835"/>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2674/812/813</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GÉANT</w:t>
            </w:r>
          </w:p>
        </w:tc>
        <w:tc>
          <w:tcPr>
            <w:tcW w:type="dxa" w:w="96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2849</w:t>
            </w:r>
          </w:p>
        </w:tc>
        <w:tc>
          <w:tcPr>
            <w:tcW w:type="dxa" w:w="1077"/>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524</w:t>
            </w:r>
          </w:p>
        </w:tc>
        <w:tc>
          <w:tcPr>
            <w:tcW w:type="dxa" w:w="2835"/>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1709/570/570</w:t>
            </w:r>
          </w:p>
        </w:tc>
        <w:tc>
          <w:tcPr>
            <w:tcW w:type="dxa" w:w="2835"/>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1590/451/451</w:t>
            </w:r>
          </w:p>
        </w:tc>
      </w:tr>
    </w:tbl>
    <w:p>
      <w:r>
        <w:rPr>
          <w:rFonts w:ascii="Times New Roman" w:hAnsi="Times New Roman" w:eastAsia="宋体"/>
          <w:b w:val="0"/>
          <w:color w:val="000000"/>
          <w:sz w:val="21"/>
        </w:rPr>
        <w:t>各模型均以96 h历史预测未来24 h，批量大小为16。DLinear及多尺度模型的学习率为0.001，最多训练30轮，早停耐心值为6；LightTS采用公开实现，分块长度为24、模型维度为512，学习率为0.0001，最多训练50轮，早停耐心值为10。各模型均按验证集MSE选择检查点。软件环境为Python 3.11.9和PyTorch 2.5.1。</w:t>
      </w:r>
    </w:p>
    <w:p>
      <w:r>
        <w:rPr>
          <w:rFonts w:ascii="Times New Roman" w:hAnsi="Times New Roman" w:eastAsia="宋体"/>
          <w:b w:val="0"/>
          <w:color w:val="000000"/>
          <w:sz w:val="21"/>
        </w:rPr>
        <w:t>外部基线比较使用42～44三个共同随机种子，融合消融、周期比较、权重及高需求分析使用42～49八个共同种子。表中学习模型报告种子均值±样本标准差。相对误差降低率按共同种子逐一计算，再取平均；所有种子均参与对应汇总。</w:t>
      </w:r>
    </w:p>
    <w:p>
      <w:pPr>
        <w:pStyle w:val="2"/>
      </w:pPr>
      <w:r>
        <w:rPr>
          <w:rFonts w:ascii="Times New Roman" w:hAnsi="Times New Roman" w:eastAsia="黑体"/>
          <w:b/>
          <w:color w:val="000000"/>
          <w:sz w:val="22"/>
        </w:rPr>
        <w:t>2.2 评价指标</w:t>
      </w:r>
    </w:p>
    <w:p>
      <w:pPr>
        <w:keepNext/>
      </w:pPr>
      <w:r>
        <w:rPr>
          <w:rFonts w:ascii="Times New Roman" w:hAnsi="Times New Roman" w:eastAsia="宋体"/>
          <w:b w:val="0"/>
          <w:color w:val="000000"/>
          <w:sz w:val="21"/>
        </w:rPr>
        <w:t>采用MSE、平均绝对误差（mean absolute error，MAE）及均方根误差（root mean squared error，RMSE）评价预测结果，三项指标均在对数变换并逐变量标准化后的空间计算。测试集MSE按式（14）计算，样本数取测试窗口数；MAE与RMSE分别为</w:t>
      </w:r>
    </w:p>
    <w:p w14:paraId="1CAEA4A5"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r>
        <w:rPr>
          <w:rFonts w:ascii="Times New Roman" w:hAnsi="Times New Roman" w:eastAsia="宋体"/>
          <w:b w:val="0"/>
          <w:color w:val="000000"/>
          <w:sz w:val="21"/>
        </w:rPr>
        <w:t>式中，Nₜₑ为测试窗口数。MSE对较大偏差更敏感，MAE反映平均绝对偏差，RMSE则以平方误差的均方根表示预测偏差。三项指标的数值越小，表示预测误差越低。</w:t>
      </w:r>
    </w:p>
    <w:p>
      <w:pPr>
        <w:pStyle w:val="2"/>
      </w:pPr>
      <w:r>
        <w:rPr>
          <w:rFonts w:ascii="Times New Roman" w:hAnsi="Times New Roman" w:eastAsia="黑体"/>
          <w:b/>
          <w:color w:val="000000"/>
          <w:sz w:val="22"/>
        </w:rPr>
        <w:t>2.3 基线模型比较</w:t>
      </w:r>
    </w:p>
    <w:p>
      <w:r>
        <w:rPr>
          <w:rFonts w:ascii="Times New Roman" w:hAnsi="Times New Roman" w:eastAsia="宋体"/>
          <w:b w:val="0"/>
          <w:color w:val="000000"/>
          <w:sz w:val="21"/>
        </w:rPr>
        <w:t>选取单尺度DLinear和采样导向预测模型LightTS作为基线，结果见表2。两个数据集上，本文方法的平均MSE和MAE均低于所列基线，说明多尺度候选预测与窗口相关融合相结合，改善了该24 h任务的平均预测精度。</w:t>
      </w:r>
    </w:p>
    <w:p>
      <w:pPr>
        <w:keepNext/>
        <w:ind w:firstLine="0"/>
        <w:jc w:val="center"/>
      </w:pPr>
      <w:r>
        <w:rPr>
          <w:rFonts w:ascii="Times New Roman" w:hAnsi="Times New Roman" w:eastAsia="黑体"/>
          <w:b/>
          <w:color w:val="000000"/>
          <w:sz w:val="18"/>
        </w:rPr>
        <w:t>表2 三个共同随机种子的预测结果</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0.188±0.009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0.265±0.011</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0.204±0.008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0.186±0.002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0.168±0.001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0.454±0.007</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0.383±0.006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0.817±0.024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0.523±0.014</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0.434±0.051</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0.370±0.031</w:t>
            </w:r>
          </w:p>
        </w:tc>
      </w:tr>
    </w:tbl>
    <w:p>
      <w:r>
        <w:rPr>
          <w:rFonts w:ascii="Times New Roman" w:hAnsi="Times New Roman" w:eastAsia="宋体"/>
          <w:b w:val="0"/>
          <w:color w:val="000000"/>
          <w:sz w:val="21"/>
        </w:rPr>
        <w:t>按共同种子计算，本文方法相对DLinear的平均MSE降幅在Abilene和GÉANT上分别为4.07%和4.54%，相对LightTS分别为29.80%和46.89%。图2进一步给出相对LightTS的逐种子误差降低率及参数比例，三个共同种子下的MSE、MAE和RMSE均取得改善。</w:t>
      </w:r>
    </w:p>
    <w:p>
      <w:pPr>
        <w:keepNext/>
        <w:spacing w:before="80" w:after="40"/>
        <w:ind w:firstLine="0"/>
        <w:jc w:val="center"/>
      </w:pPr>
      <w:r>
        <w:drawing>
          <wp:inline xmlns:a="http://schemas.openxmlformats.org/drawingml/2006/main" xmlns:pic="http://schemas.openxmlformats.org/drawingml/2006/picture">
            <wp:extent cx="4968000" cy="2430099"/>
            <wp:docPr id="2" name="Picture 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4968000" cy="2430099"/>
                    </a:xfrm>
                    <a:prstGeom prst="rect"/>
                  </pic:spPr>
                </pic:pic>
              </a:graphicData>
            </a:graphic>
          </wp:inline>
        </w:drawing>
      </w:r>
    </w:p>
    <w:p>
      <w:pPr>
        <w:keepNext w:val="0"/>
        <w:spacing w:after="100"/>
        <w:ind w:firstLine="0"/>
        <w:jc w:val="center"/>
      </w:pPr>
      <w:r>
        <w:rPr>
          <w:rFonts w:ascii="Times New Roman" w:hAnsi="Times New Roman" w:eastAsia="黑体"/>
          <w:b/>
          <w:color w:val="000000"/>
          <w:sz w:val="18"/>
        </w:rPr>
        <w:t>图2 相对LightTS的误差降低率与参数比例</w:t>
      </w:r>
    </w:p>
    <w:p>
      <w:r>
        <w:rPr>
          <w:rFonts w:ascii="Times New Roman" w:hAnsi="Times New Roman" w:eastAsia="宋体"/>
          <w:b w:val="0"/>
          <w:color w:val="000000"/>
          <w:sz w:val="21"/>
        </w:rPr>
        <w:t>图2中，色块表示各指标相对LightTS的降低率，最后一列为三个种子的均值；右侧以LightTS参数量为100%表示参数比例。本文方法在两套数据上的参数量分别为对应LightTS配置的6.41%和2.17%，在保持较低参数规模的同时获得了较低平均预测误差。</w:t>
      </w:r>
    </w:p>
    <w:p>
      <w:pPr>
        <w:pStyle w:val="2"/>
      </w:pPr>
      <w:r>
        <w:rPr>
          <w:rFonts w:ascii="Times New Roman" w:hAnsi="Times New Roman" w:eastAsia="黑体"/>
          <w:b/>
          <w:color w:val="000000"/>
          <w:sz w:val="22"/>
        </w:rPr>
        <w:t>2.4 融合方式消融分析</w:t>
      </w:r>
    </w:p>
    <w:p>
      <w:r>
        <w:rPr>
          <w:rFonts w:ascii="Times New Roman" w:hAnsi="Times New Roman" w:eastAsia="宋体"/>
          <w:b w:val="0"/>
          <w:color w:val="000000"/>
          <w:sz w:val="21"/>
        </w:rPr>
        <w:t>进一步保持三个独立DLinear专家及尺度集合不变，对融合方式进行消融。固定等权模型将权重设为1/3；全局可学习权重模型通过三个可训练分数生成所有窗口共用的权重；恒定输入路由模型保留两层路由网络，但向其输入全零特征。各对照的尺度专家均处理真实历史序列，因此可以在相同多尺度结构下比较融合方式。</w:t>
      </w:r>
    </w:p>
    <w:p>
      <w:pPr>
        <w:keepNext/>
        <w:ind w:firstLine="0"/>
        <w:jc w:val="center"/>
      </w:pPr>
      <w:r>
        <w:rPr>
          <w:rFonts w:ascii="Times New Roman" w:hAnsi="Times New Roman" w:eastAsia="黑体"/>
          <w:b/>
          <w:color w:val="000000"/>
          <w:sz w:val="18"/>
        </w:rPr>
        <w:t>表3 八个共同随机种子的融合消融结果</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0.189±0.008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0.190±0.006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0.181±0.006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0.189±0.003</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0.173±0.008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0.437±0.016</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0.371±0.011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0.447±0.014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0.446±0.014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0.449±0.012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0.379±0.007</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0.426±0.029</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0.366±0.018</w:t>
            </w:r>
          </w:p>
        </w:tc>
      </w:tr>
    </w:tbl>
    <w:p>
      <w:r>
        <w:rPr>
          <w:rFonts w:ascii="Times New Roman" w:hAnsi="Times New Roman" w:eastAsia="宋体"/>
          <w:b w:val="0"/>
          <w:color w:val="000000"/>
          <w:sz w:val="21"/>
        </w:rPr>
        <w:t>在八个共同种子的汇总结果中，本文方法在两套数据上的平均MSE和MAE均低于表3所列对照。相对单尺度DLinear，平均MSE分别降低2.77%和2.35%；相对固定等权融合，分别降低1.65%和4.54%。这表明，在所设24 h任务中，引入多尺度输入并学习融合权重能够改善平均误差。</w:t>
      </w:r>
    </w:p>
    <w:p>
      <w:r>
        <w:rPr>
          <w:rFonts w:ascii="Times New Roman" w:hAnsi="Times New Roman" w:eastAsia="宋体"/>
          <w:b w:val="0"/>
          <w:color w:val="000000"/>
          <w:sz w:val="21"/>
        </w:rPr>
        <w:t>与全局可学习权重相比，本文方法的逐种子平均MSE降幅分别为1.80%和4.31%；与恒定输入路由相比，分别为1.80%和4.97%。两类对照分别提供全局固定权重和等路由结构的参照，而本文方法将当前窗口统计量作为融合依据，在本组重复实验中获得更低的平均预测误差。</w:t>
      </w:r>
    </w:p>
    <w:p>
      <w:r>
        <w:rPr>
          <w:rFonts w:ascii="Times New Roman" w:hAnsi="Times New Roman" w:eastAsia="宋体"/>
          <w:b w:val="0"/>
          <w:color w:val="000000"/>
          <w:sz w:val="21"/>
        </w:rPr>
        <w:t>为观察多尺度融合中的权重分配，图3汇总八个种子在全部测试窗口上的尺度权重。小提琴表示窗口权重的汇总分布，彩色点表示各种子的窗口平均权重；黑色菱形和误差线分别表示这些均值的平均值与样本标准差，短横线为汇总分布中位数，虚线为等权1/3。</w:t>
      </w:r>
    </w:p>
    <w:p>
      <w:pPr>
        <w:keepNext/>
        <w:spacing w:line="240" w:lineRule="auto" w:before="60" w:after="40"/>
        <w:ind w:firstLine="0"/>
        <w:jc w:val="center"/>
      </w:pPr>
      <w:r>
        <w:drawing>
          <wp:inline xmlns:a="http://schemas.openxmlformats.org/drawingml/2006/main" xmlns:pic="http://schemas.openxmlformats.org/drawingml/2006/picture">
            <wp:extent cx="4968000" cy="2333986"/>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68000" cy="2333986"/>
                    </a:xfrm>
                    <a:prstGeom prst="rect"/>
                  </pic:spPr>
                </pic:pic>
              </a:graphicData>
            </a:graphic>
          </wp:inline>
        </w:drawing>
      </w:r>
    </w:p>
    <w:p>
      <w:pPr>
        <w:keepNext w:val="0"/>
        <w:spacing w:after="80"/>
        <w:ind w:firstLine="0"/>
        <w:jc w:val="center"/>
      </w:pPr>
      <w:r>
        <w:rPr>
          <w:rFonts w:ascii="Times New Roman" w:hAnsi="Times New Roman" w:eastAsia="黑体"/>
          <w:b/>
          <w:color w:val="000000"/>
          <w:sz w:val="18"/>
        </w:rPr>
        <w:t>图3 尺度权重分布与种子均值</w:t>
      </w:r>
    </w:p>
    <w:p>
      <w:r>
        <w:rPr>
          <w:rFonts w:ascii="Times New Roman" w:hAnsi="Times New Roman" w:eastAsia="宋体"/>
          <w:b w:val="0"/>
          <w:color w:val="000000"/>
          <w:sz w:val="21"/>
        </w:rPr>
        <w:t>Abilene在尺度1、2、4上的平均权重分别为0.257、0.319、0.424，GÉANT分别为0.283、0.318、0.399。两套数据均为尺度4分配了较高的平均权重，同时保留尺度1与尺度2的预测贡献，形成不同时间分辨率信息的组合。</w:t>
      </w:r>
    </w:p>
    <w:p>
      <w:pPr>
        <w:pStyle w:val="2"/>
      </w:pPr>
      <w:r>
        <w:rPr>
          <w:rFonts w:ascii="Times New Roman" w:hAnsi="Times New Roman" w:eastAsia="黑体"/>
          <w:b/>
          <w:color w:val="000000"/>
          <w:sz w:val="22"/>
        </w:rPr>
        <w:t>2.5 周期基线比较</w:t>
      </w:r>
    </w:p>
    <w:p>
      <w:r>
        <w:rPr>
          <w:rFonts w:ascii="Times New Roman" w:hAnsi="Times New Roman" w:eastAsia="宋体"/>
          <w:b w:val="0"/>
          <w:color w:val="000000"/>
          <w:sz w:val="21"/>
        </w:rPr>
        <w:t>为评价模型相对周期复制预测的效果，设置日周期与周周期朴素基线，分别采用前24 h和前168 h对应时刻的观测预测未来24 h。各方法统一在测试段起点不早于第168小时的窗口计分，Abilene与GÉANT分别保留741和379个共同窗口。日、周周期基线使用24 h和168 h历史，本文方法使用96 h历史，结果见表4。</w:t>
      </w:r>
    </w:p>
    <w:p>
      <w:pPr>
        <w:keepNext/>
        <w:ind w:firstLine="0"/>
        <w:jc w:val="center"/>
      </w:pPr>
      <w:r>
        <w:rPr>
          <w:rFonts w:ascii="Times New Roman" w:hAnsi="Times New Roman" w:eastAsia="黑体"/>
          <w:b/>
          <w:color w:val="000000"/>
          <w:sz w:val="18"/>
        </w:rPr>
        <w:t>表4 共同测试窗口上的周期基线比较</w:t>
      </w:r>
    </w:p>
    <w:tbl>
      <w:tblPr>
        <w:tblW w:type="auto" w:w="0"/>
        <w:jc w:val="center"/>
        <w:tblLayout w:type="fixed"/>
        <w:tblLook w:firstColumn="1" w:firstRow="1" w:lastColumn="0" w:lastRow="0" w:noHBand="0" w:noVBand="1" w:val="04A0"/>
      </w:tblPr>
      <w:tblGrid>
        <w:gridCol w:w="1134"/>
        <w:gridCol w:w="1928"/>
        <w:gridCol w:w="907"/>
        <w:gridCol w:w="2438"/>
        <w:gridCol w:w="243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数据集</w:t>
            </w:r>
          </w:p>
        </w:tc>
        <w:tc>
          <w:tcPr>
            <w:tcW w:type="dxa" w:w="192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方法</w:t>
            </w:r>
          </w:p>
        </w:tc>
        <w:tc>
          <w:tcPr>
            <w:tcW w:type="dxa" w:w="907"/>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历史/h</w:t>
            </w:r>
          </w:p>
        </w:tc>
        <w:tc>
          <w:tcPr>
            <w:tcW w:type="dxa" w:w="243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MSE</w:t>
            </w:r>
          </w:p>
        </w:tc>
        <w:tc>
          <w:tcPr>
            <w:tcW w:type="dxa" w:w="243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19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日周期朴素</w:t>
            </w:r>
          </w:p>
        </w:tc>
        <w:tc>
          <w:tcPr>
            <w:tcW w:type="dxa" w:w="90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24</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0.370</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0.231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19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周周期朴素</w:t>
            </w:r>
          </w:p>
        </w:tc>
        <w:tc>
          <w:tcPr>
            <w:tcW w:type="dxa" w:w="90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168</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0.390</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0.245</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Abilene</w:t>
            </w:r>
          </w:p>
        </w:tc>
        <w:tc>
          <w:tcPr>
            <w:tcW w:type="dxa" w:w="19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本文方法</w:t>
            </w:r>
          </w:p>
        </w:tc>
        <w:tc>
          <w:tcPr>
            <w:tcW w:type="dxa" w:w="90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96</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0.204±0.003</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0.180±0.009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19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日周期朴素</w:t>
            </w:r>
          </w:p>
        </w:tc>
        <w:tc>
          <w:tcPr>
            <w:tcW w:type="dxa" w:w="90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24</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0.647</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0.404</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19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周周期朴素</w:t>
            </w:r>
          </w:p>
        </w:tc>
        <w:tc>
          <w:tcPr>
            <w:tcW w:type="dxa" w:w="90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168</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0.628</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0.442</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GÉANT</w:t>
            </w:r>
          </w:p>
        </w:tc>
        <w:tc>
          <w:tcPr>
            <w:tcW w:type="dxa" w:w="192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本文方法</w:t>
            </w:r>
          </w:p>
        </w:tc>
        <w:tc>
          <w:tcPr>
            <w:tcW w:type="dxa" w:w="907"/>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96</w:t>
            </w:r>
          </w:p>
        </w:tc>
        <w:tc>
          <w:tcPr>
            <w:tcW w:type="dxa" w:w="243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0.442±0.030</w:t>
            </w:r>
          </w:p>
        </w:tc>
        <w:tc>
          <w:tcPr>
            <w:tcW w:type="dxa" w:w="243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0.367±0.019</w:t>
            </w:r>
          </w:p>
        </w:tc>
      </w:tr>
    </w:tbl>
    <w:p>
      <w:r>
        <w:rPr>
          <w:rFonts w:ascii="Times New Roman" w:hAnsi="Times New Roman" w:eastAsia="宋体"/>
          <w:b w:val="0"/>
          <w:color w:val="000000"/>
          <w:sz w:val="21"/>
        </w:rPr>
        <w:t>周期朴素基线为确定性计算，表4仅对学习模型报告种子标准差。与日周期基线相比，本文方法在Abilene和GÉANT上的平均MSE分别降低44.93%和31.77%；与周周期基线相比，分别降低47.80%和29.69%。同时，两套数据的平均MAE也较低，表明根据历史窗口联合提取多尺度信息，在这些共同评价窗口上优于直接复制周期观测。</w:t>
      </w:r>
    </w:p>
    <w:p>
      <w:pPr>
        <w:pStyle w:val="2"/>
        <w:keepNext/>
      </w:pPr>
      <w:r>
        <w:rPr>
          <w:rFonts w:ascii="Times New Roman" w:hAnsi="Times New Roman" w:eastAsia="黑体"/>
          <w:b/>
          <w:color w:val="000000"/>
          <w:sz w:val="22"/>
        </w:rPr>
        <w:t>2.6 高需求预测点分析</w:t>
      </w:r>
    </w:p>
    <w:p>
      <w:r>
        <w:rPr>
          <w:rFonts w:ascii="Times New Roman" w:hAnsi="Times New Roman" w:eastAsia="宋体"/>
          <w:b w:val="0"/>
          <w:color w:val="000000"/>
          <w:sz w:val="21"/>
        </w:rPr>
        <w:t>为考察较高通信需求下的预测表现，以训练集各OD变量的第90百分位为阈值，将测试集中真实值超过对应阈值的预测点定义为高需求点。在这些点上计算MAE，并进一步统计平均低估误差。当预测值低于真实值时，记录二者的差额，否则记为0，再对全部高需求点取平均。各指标均在前述标准化空间计算，先在单个种子内计算，再对八个共同种子汇总，结果见图4。</w:t>
      </w:r>
    </w:p>
    <w:p>
      <w:pPr>
        <w:keepNext/>
        <w:spacing w:line="240" w:lineRule="auto" w:before="60" w:after="40"/>
        <w:ind w:firstLine="0"/>
        <w:jc w:val="center"/>
      </w:pPr>
      <w:r>
        <w:drawing>
          <wp:inline xmlns:a="http://schemas.openxmlformats.org/drawingml/2006/main" xmlns:pic="http://schemas.openxmlformats.org/drawingml/2006/picture">
            <wp:extent cx="4968000" cy="2606714"/>
            <wp:docPr id="4" name="Picture 4" descr="两个网络上五种模型的高需求预测误差分组柱状图；柱高为八个种子均值，误差线为样本标准差。"/>
            <wp:cNvGraphicFramePr>
              <a:graphicFrameLocks noChangeAspect="1"/>
            </wp:cNvGraphicFramePr>
            <a:graphic>
              <a:graphicData uri="http://schemas.openxmlformats.org/drawingml/2006/picture">
                <pic:pic>
                  <pic:nvPicPr>
                    <pic:cNvPr id="0" name="图4_高需求预测误差.png"/>
                    <pic:cNvPicPr/>
                  </pic:nvPicPr>
                  <pic:blipFill>
                    <a:blip r:embed="rId20"/>
                    <a:stretch>
                      <a:fillRect/>
                    </a:stretch>
                  </pic:blipFill>
                  <pic:spPr>
                    <a:xfrm>
                      <a:off x="0" y="0"/>
                      <a:ext cx="4968000" cy="2606714"/>
                    </a:xfrm>
                    <a:prstGeom prst="rect"/>
                  </pic:spPr>
                </pic:pic>
              </a:graphicData>
            </a:graphic>
          </wp:inline>
        </w:drawing>
      </w:r>
    </w:p>
    <w:p>
      <w:pPr>
        <w:keepNext w:val="0"/>
        <w:spacing w:after="80"/>
        <w:ind w:firstLine="0"/>
        <w:jc w:val="center"/>
      </w:pPr>
      <w:r>
        <w:rPr>
          <w:rFonts w:ascii="Times New Roman" w:hAnsi="Times New Roman" w:eastAsia="黑体"/>
          <w:b/>
          <w:color w:val="000000"/>
          <w:sz w:val="18"/>
        </w:rPr>
        <w:t>图4 高需求预测点的MAE与平均低估误差</w:t>
      </w:r>
    </w:p>
    <w:p>
      <w:r>
        <w:rPr>
          <w:rFonts w:ascii="Times New Roman" w:hAnsi="Times New Roman" w:eastAsia="宋体"/>
          <w:b w:val="0"/>
          <w:color w:val="000000"/>
          <w:sz w:val="21"/>
        </w:rPr>
        <w:t>图4中，柱高与误差线分别表示八个种子的均值和样本标准差；“全局权重”和“恒定路由”分别对应全局可学习权重和恒定输入路由。本文方法在Abilene上的MAE与平均低估误差分别为0.147和0.137，在GÉANT上分别为0.632和0.577，两项均值均低于图中所列对照。相对全局可学习权重，Abilene上两项指标的逐种子平均降幅分别为17.22%和20.49%，GÉANT上分别为3.59%和6.30%，表明本文方法在所设24 h任务的高需求点上取得了较低的平均预测误差。</w:t>
      </w:r>
    </w:p>
    <w:p>
      <w:pPr>
        <w:pStyle w:val="2"/>
      </w:pPr>
      <w:r>
        <w:rPr>
          <w:rFonts w:ascii="Times New Roman" w:hAnsi="Times New Roman" w:eastAsia="黑体"/>
          <w:b/>
          <w:color w:val="000000"/>
          <w:sz w:val="22"/>
        </w:rPr>
        <w:t>2.7 模型前向计算耗时</w:t>
      </w:r>
    </w:p>
    <w:p>
      <w:r>
        <w:rPr>
          <w:rFonts w:ascii="Times New Roman" w:hAnsi="Times New Roman" w:eastAsia="宋体"/>
          <w:b w:val="0"/>
          <w:color w:val="000000"/>
          <w:sz w:val="21"/>
        </w:rPr>
        <w:t>采用八个检查点测量模型前向耗时，批量大小为16，输入预先载入目标设备并关闭梯度。GPU在GTX 1060（6 GB）上以CUDA事件计时，每个检查点预热50批后，将完整测试集重复30次；CPU在i7-8750H上使用单线程，预热30批并重复10次。按检查点内平均每批耗时计算，再汇总八个检查点的均值与标准差。</w:t>
      </w:r>
    </w:p>
    <w:p>
      <w:r>
        <w:rPr>
          <w:rFonts w:ascii="Times New Roman" w:hAnsi="Times New Roman" w:eastAsia="宋体"/>
          <w:b w:val="0"/>
          <w:color w:val="000000"/>
          <w:sz w:val="21"/>
        </w:rPr>
        <w:t>Abilene与GÉANT上的GPU每批前向耗时分别为3.28±0.20 ms和5.26±2.79 ms，CPU分别为40.65±0.19 ms和131.35±1.25 ms。该测量对应已载入设备的模型前向过程，为所设规模下的计算需求提供量化参照。</w:t>
      </w:r>
    </w:p>
    <w:p>
      <w:pPr>
        <w:pStyle w:val="1"/>
      </w:pPr>
      <w:r>
        <w:rPr>
          <w:rFonts w:ascii="Times New Roman" w:hAnsi="Times New Roman" w:eastAsia="黑体"/>
          <w:b/>
          <w:color w:val="000000"/>
          <w:sz w:val="24"/>
        </w:rPr>
        <w:t>3 结语</w:t>
      </w:r>
    </w:p>
    <w:p>
      <w:r>
        <w:rPr>
          <w:rFonts w:ascii="Times New Roman" w:hAnsi="Times New Roman" w:eastAsia="宋体"/>
          <w:b w:val="0"/>
          <w:color w:val="000000"/>
          <w:sz w:val="21"/>
        </w:rPr>
        <w:t>本文面向小时级骨干网流量的24 h预测任务，构建了由三个独立DLinear专家和低维路由网络组成的自适应多尺度模型。通过时间聚合形成不同分辨率的输入，再以四维窗口统计量计算尺度权重，实现多尺度候选预测的融合。</w:t>
      </w:r>
    </w:p>
    <w:p>
      <w:r>
        <w:rPr>
          <w:rFonts w:ascii="Times New Roman" w:hAnsi="Times New Roman" w:eastAsia="宋体"/>
          <w:b w:val="0"/>
          <w:color w:val="000000"/>
          <w:sz w:val="21"/>
        </w:rPr>
        <w:t>在Abilene和GÉANT的既定时间划分与完整训练历史下，八种子平均MSE相对DLinear分别降低2.77%和2.35%，相对全局可学习权重分别降低1.80%和4.31%；周期比较也取得较低平均误差。模型参数量为8339，其中尺度路由仅含131个参数。上述结果为利用低维窗口特征融合多尺度预测提供了实验依据，可为小时级OD流量需求分析提供方法参考。</w:t>
      </w:r>
    </w:p>
    <w:p>
      <w:pPr>
        <w:pStyle w:val="1"/>
      </w:pPr>
      <w:r>
        <w:rPr>
          <w:rFonts w:ascii="Times New Roman" w:hAnsi="Times New Roman" w:eastAsia="黑体"/>
          <w:b/>
          <w:color w:val="000000"/>
          <w:sz w:val="24"/>
        </w:rPr>
        <w:t>参考文献</w:t>
      </w:r>
    </w:p>
    <w:p w14:paraId="400CE3E2" w14:textId="77777777" w:rsidR="00B14FA3" w:rsidRPr="00B14FA3" w:rsidRDefault="00B14FA3" w:rsidP="00593DFC">
      <w:pPr>
        <w:keepNext w:val="0"/>
        <w:keepLines/>
        <w:snapToGrid w:val="0"/>
        <w:spacing w:after="60" w:line="252" w:lineRule="auto"/>
        <w:ind w:left="420" w:hanging="420"/>
      </w:pPr>
      <w:bookmarkStart w:id="2" w:name="OLE_LINK4"/>
      <w:r w:rsidRPr="00B14FA3">
        <w:rPr>
          <w:rFonts w:ascii="Times New Roman" w:hAnsi="Times New Roman" w:eastAsia="宋体"/>
          <w:b w:val="0"/>
          <w:color w:val="000000"/>
          <w:sz w:val="18"/>
          <w:szCs w:val="18"/>
        </w:rPr>
        <w:t>[1]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[2] QIN Liang, GU Huaxi, WEI Wenting, et al. Spatio-temporal communication network traffic prediction method based on graph neural network[J]. Information Sciences, 2024, 679: 121003. DOI: 10.1016/j.ins.2024.121003.</w:t>
      </w:r>
    </w:p>
    <w:p w14:paraId="15702092"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 xml:space="preserve">[3] </w:t>
      </w:r>
      <w:r>
        <w:rPr>
          <w:rFonts w:ascii="Times New Roman" w:hAnsi="Times New Roman" w:eastAsia="宋体"/>
          <w:b w:val="0"/>
          <w:color w:val="000000"/>
          <w:sz w:val="18"/>
          <w:szCs w:val="18"/>
        </w:rPr>
        <w:t>韦烜</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刘志华</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李青</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等</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大型</w:t>
      </w:r>
      <w:r>
        <w:rPr>
          <w:rFonts w:ascii="Times New Roman" w:hAnsi="Times New Roman" w:eastAsia="宋体"/>
          <w:b w:val="0"/>
          <w:color w:val="000000"/>
          <w:sz w:val="18"/>
          <w:szCs w:val="18"/>
        </w:rPr>
        <w:t>IP</w:t>
      </w:r>
      <w:r>
        <w:rPr>
          <w:rFonts w:ascii="Times New Roman" w:hAnsi="Times New Roman" w:eastAsia="宋体"/>
          <w:b w:val="0"/>
          <w:color w:val="000000"/>
          <w:sz w:val="18"/>
          <w:szCs w:val="18"/>
        </w:rPr>
        <w:t>网络流量矩阵分析预测的探讨研究</w:t>
      </w:r>
      <w:r>
        <w:rPr>
          <w:rFonts w:ascii="Times New Roman" w:hAnsi="Times New Roman" w:eastAsia="宋体"/>
          <w:b w:val="0"/>
          <w:color w:val="000000"/>
          <w:sz w:val="18"/>
          <w:szCs w:val="18"/>
        </w:rPr>
        <w:t xml:space="preserve">[J]. </w:t>
      </w:r>
      <w:r>
        <w:rPr>
          <w:rFonts w:ascii="Times New Roman" w:hAnsi="Times New Roman" w:eastAsia="宋体"/>
          <w:b w:val="0"/>
          <w:color w:val="000000"/>
          <w:sz w:val="18"/>
          <w:szCs w:val="18"/>
        </w:rPr>
        <w:t>系统工程与电子技术</w:t>
      </w:r>
      <w:r>
        <w:rPr>
          <w:rFonts w:ascii="Times New Roman" w:hAnsi="Times New Roman" w:eastAsia="宋体"/>
          <w:b w:val="0"/>
          <w:color w:val="000000"/>
          <w:sz w:val="18"/>
          <w:szCs w:val="18"/>
        </w:rPr>
        <w:t>, 2024, 46(6): 2164-2173. DOI: 10.12305/j.issn.1001-506X.2024.06.35.</w:t>
      </w:r>
    </w:p>
    <w:p w14:paraId="099E392A"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 xml:space="preserve">[4] </w:t>
      </w:r>
      <w:r>
        <w:rPr>
          <w:rFonts w:ascii="Times New Roman" w:hAnsi="Times New Roman" w:eastAsia="宋体"/>
          <w:b w:val="0"/>
          <w:color w:val="000000"/>
          <w:sz w:val="18"/>
          <w:szCs w:val="18"/>
        </w:rPr>
        <w:t>唐文杰</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肖一磊</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孔祥宇</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等</w:t>
      </w:r>
      <w:r>
        <w:rPr>
          <w:rFonts w:ascii="Times New Roman" w:hAnsi="Times New Roman" w:eastAsia="宋体"/>
          <w:b w:val="0"/>
          <w:color w:val="000000"/>
          <w:sz w:val="18"/>
          <w:szCs w:val="18"/>
        </w:rPr>
        <w:t>. CycleLLH</w:t>
      </w:r>
      <w:r>
        <w:rPr>
          <w:rFonts w:ascii="Times New Roman" w:hAnsi="Times New Roman" w:eastAsia="宋体"/>
          <w:b w:val="0"/>
          <w:color w:val="000000"/>
          <w:sz w:val="18"/>
          <w:szCs w:val="18"/>
        </w:rPr>
        <w:t>：一种基于周期性整合的新型网络流量预测模型</w:t>
      </w:r>
      <w:r>
        <w:rPr>
          <w:rFonts w:ascii="Times New Roman" w:hAnsi="Times New Roman" w:eastAsia="宋体"/>
          <w:b w:val="0"/>
          <w:color w:val="000000"/>
          <w:sz w:val="18"/>
          <w:szCs w:val="18"/>
        </w:rPr>
        <w:t xml:space="preserve">[J]. </w:t>
      </w:r>
      <w:r>
        <w:rPr>
          <w:rFonts w:ascii="Times New Roman" w:hAnsi="Times New Roman" w:eastAsia="宋体"/>
          <w:b w:val="0"/>
          <w:color w:val="000000"/>
          <w:sz w:val="18"/>
          <w:szCs w:val="18"/>
        </w:rPr>
        <w:t>计算机学报</w:t>
      </w:r>
      <w:r>
        <w:rPr>
          <w:rFonts w:ascii="Times New Roman" w:hAnsi="Times New Roman" w:eastAsia="宋体"/>
          <w:b w:val="0"/>
          <w:color w:val="000000"/>
          <w:sz w:val="18"/>
          <w:szCs w:val="18"/>
        </w:rPr>
        <w:t>, 2024, 47(12): 2867-2888. DOI: 10.11897/SP.J.1016.2024.02867.</w:t>
      </w:r>
    </w:p>
    <w:p w14:paraId="1603B59C"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[6] ZENG Ailing, CHEN Muxi, ZHANG Lei, et al. Are transformers effective for time series forecasting?[J]. Proceedings of the AAAI Conference on Artificial Intelligence, 2023, 37(9): 11121-11128. DOI: 10.1609/aaai.v37i9.26317.</w:t>
      </w:r>
    </w:p>
    <w:p w14:paraId="6492CEBF"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[7] WANG Shiyu, WU Haixu, SHI Xiaoming, et al. TimeMixer: decomposable multiscale mixing for time series forecasting[C/OL]//International Conference on Learning Representations. 2024[2026-10-03]. https://openreview.net/forum?id=7oLshfEIC2.</w:t>
      </w:r>
    </w:p>
    <w:p w14:paraId="6F127357"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[8] ZHANG Tianping, ZHANG Yizhuo, CAO Wei, et al. Less is more: fast multivariate time series forecasting with light sampling-oriented MLP structures[EB/OL]. (2022-07-04)[2026-10-03]. https://arxiv.org/abs/2207.01186. DOI: 10.48550/arXiv.2207.01186.</w:t>
      </w:r>
    </w:p>
    <w:p w14:paraId="31DFB769"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[11] UHLIG S, QUOITIN B, LEPROPRE J, et al. Providing public intradomain traffic matrices to the research community[J]. ACM SIGCOMM Computer Communication Review, 2006, 36(1): 83-86. DOI: 10.1145/1111322.1111341.</w:t>
      </w:r>
      <w:bookmarkEnd w:id="2"/>
    </w:p>
    <w:sectPr w:rsidR="00B14FA3" w:rsidRPr="00B14FA3" w:rsidSect="00F23B67">
      <w:headerReference w:type="default" r:id="rId11"/>
      <w:footerReference w:type="first" r:id="rId12"/>
      <w:headerReference w:type="first" r:id="rId16"/>
      <w:headerReference w:type="even" r:id="rId17"/>
      <w:footerReference w:type="default" r:id="rId18"/>
      <w:footerReference w:type="even" r:id="rId19"/>
      <w:pgSz w:w="11906" w:h="16838"/>
      <w:pgMar w:top="1247" w:right="1361" w:bottom="1247" w:left="1361"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8A3EA" w14:textId="77777777" w:rsidR="001B2468" w:rsidRDefault="001B2468" w:rsidP="00F23B67">
      <w:r>
        <w:separator/>
      </w:r>
    </w:p>
  </w:endnote>
  <w:endnote w:type="continuationSeparator" w:id="0">
    <w:p w14:paraId="5A8192BA" w14:textId="77777777" w:rsidR="001B2468" w:rsidRDefault="001B2468"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816C8" w14:textId="42810BA7" w:rsidR="00F23B67" w:rsidRDefault="00F23B67" w:rsidP="00027F5B">
    <w:pPr>
      <w:keepLines/>
      <w:jc w:val="left"/>
    </w:pPr>
    <w:r>
      <w:rPr>
        <w:color w:val="000000"/>
        <w:sz w:val="18"/>
        <w:szCs w:val="18"/>
      </w:rPr>
      <w:t>作者简介：</w:t>
    </w:r>
    <w:r w:rsidR="00027F5B">
      <w:rPr>
        <w:rFonts w:hint="eastAsia"/>
        <w:color w:val="000000"/>
        <w:sz w:val="18"/>
        <w:szCs w:val="18"/>
      </w:rPr>
      <w:t>柯亚文</w:t>
    </w:r>
    <w:r>
      <w:rPr>
        <w:color w:val="000000"/>
        <w:sz w:val="18"/>
        <w:szCs w:val="18"/>
      </w:rPr>
      <w:t>（</w:t>
    </w:r>
    <w:r w:rsidR="00027F5B">
      <w:rPr>
        <w:rFonts w:hint="eastAsia"/>
        <w:color w:val="000000"/>
        <w:sz w:val="18"/>
        <w:szCs w:val="18"/>
      </w:rPr>
      <w:t>1998</w:t>
    </w:r>
    <w:r>
      <w:rPr>
        <w:color w:val="000000"/>
        <w:sz w:val="18"/>
        <w:szCs w:val="18"/>
      </w:rPr>
      <w:t>—</w:t>
    </w:r>
    <w:r>
      <w:rPr>
        <w:color w:val="000000"/>
        <w:sz w:val="18"/>
        <w:szCs w:val="18"/>
      </w:rPr>
      <w:t>），</w:t>
    </w:r>
    <w:r w:rsidR="00027F5B">
      <w:rPr>
        <w:rFonts w:hint="eastAsia"/>
        <w:color w:val="000000"/>
        <w:sz w:val="18"/>
        <w:szCs w:val="18"/>
      </w:rPr>
      <w:t>男</w:t>
    </w:r>
    <w:r>
      <w:rPr>
        <w:color w:val="000000"/>
        <w:sz w:val="18"/>
        <w:szCs w:val="18"/>
      </w:rPr>
      <w:t>，</w:t>
    </w:r>
    <w:r w:rsidR="00027F5B">
      <w:rPr>
        <w:rFonts w:hint="eastAsia"/>
        <w:color w:val="000000"/>
        <w:sz w:val="18"/>
        <w:szCs w:val="18"/>
      </w:rPr>
      <w:t>助教</w:t>
    </w:r>
    <w:r>
      <w:rPr>
        <w:color w:val="000000"/>
        <w:sz w:val="18"/>
        <w:szCs w:val="18"/>
      </w:rPr>
      <w:t>，</w:t>
    </w:r>
    <w:r w:rsidR="00027F5B">
      <w:rPr>
        <w:rFonts w:hint="eastAsia"/>
        <w:color w:val="000000"/>
        <w:sz w:val="18"/>
        <w:szCs w:val="18"/>
      </w:rPr>
      <w:t>硕士</w:t>
    </w:r>
    <w:r>
      <w:rPr>
        <w:color w:val="000000"/>
        <w:sz w:val="18"/>
        <w:szCs w:val="18"/>
      </w:rPr>
      <w:t>，研究方向：</w:t>
    </w:r>
    <w:r w:rsidR="003C2E40">
      <w:rPr>
        <w:rFonts w:hint="eastAsia"/>
        <w:color w:val="000000"/>
        <w:sz w:val="18"/>
        <w:szCs w:val="18"/>
      </w:rPr>
      <w:t>计算机软件</w:t>
    </w:r>
    <w:r>
      <w:rPr>
        <w:color w:val="000000"/>
        <w:sz w:val="18"/>
        <w:szCs w:val="18"/>
      </w:rPr>
      <w:t>。电子邮箱：</w:t>
    </w:r>
    <w:r w:rsidR="00027F5B">
      <w:rPr>
        <w:rFonts w:hint="eastAsia"/>
        <w:color w:val="000000"/>
        <w:sz w:val="18"/>
        <w:szCs w:val="18"/>
      </w:rPr>
      <w:t xml:space="preserve">keyawen@afc.edu.cn </w:t>
    </w:r>
    <w:r>
      <w:rPr>
        <w:color w:val="000000"/>
        <w:sz w:val="18"/>
        <w:szCs w:val="18"/>
      </w:rPr>
      <w: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CE5DA" w14:textId="77777777" w:rsidR="001B2468" w:rsidRDefault="001B2468" w:rsidP="00F23B67">
      <w:r>
        <w:separator/>
      </w:r>
    </w:p>
  </w:footnote>
  <w:footnote w:type="continuationSeparator" w:id="0">
    <w:p w14:paraId="497C1316" w14:textId="77777777" w:rsidR="001B2468" w:rsidRDefault="001B2468"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27F5B"/>
    <w:rsid w:val="000376E3"/>
    <w:rsid w:val="00054E28"/>
    <w:rsid w:val="000E0B0B"/>
    <w:rsid w:val="00135816"/>
    <w:rsid w:val="001415A7"/>
    <w:rsid w:val="00144EB6"/>
    <w:rsid w:val="001B2468"/>
    <w:rsid w:val="00245F58"/>
    <w:rsid w:val="00254348"/>
    <w:rsid w:val="002F6B79"/>
    <w:rsid w:val="002F7432"/>
    <w:rsid w:val="003278FD"/>
    <w:rsid w:val="003341C1"/>
    <w:rsid w:val="0034143A"/>
    <w:rsid w:val="003B1B14"/>
    <w:rsid w:val="003C2E40"/>
    <w:rsid w:val="003E35DB"/>
    <w:rsid w:val="003F55FC"/>
    <w:rsid w:val="003F616F"/>
    <w:rsid w:val="00404FA8"/>
    <w:rsid w:val="00497300"/>
    <w:rsid w:val="004B4D5F"/>
    <w:rsid w:val="005032D3"/>
    <w:rsid w:val="00505A70"/>
    <w:rsid w:val="005378A1"/>
    <w:rsid w:val="00545955"/>
    <w:rsid w:val="005538D3"/>
    <w:rsid w:val="00593B15"/>
    <w:rsid w:val="00593DFC"/>
    <w:rsid w:val="005C7AB1"/>
    <w:rsid w:val="005F6077"/>
    <w:rsid w:val="006309B6"/>
    <w:rsid w:val="00662C25"/>
    <w:rsid w:val="00693BC8"/>
    <w:rsid w:val="00756612"/>
    <w:rsid w:val="00790E2F"/>
    <w:rsid w:val="007F4741"/>
    <w:rsid w:val="00805EB3"/>
    <w:rsid w:val="00833E9D"/>
    <w:rsid w:val="00852CB1"/>
    <w:rsid w:val="008721A4"/>
    <w:rsid w:val="00891BF8"/>
    <w:rsid w:val="00917D78"/>
    <w:rsid w:val="00921A07"/>
    <w:rsid w:val="00960F91"/>
    <w:rsid w:val="009A3654"/>
    <w:rsid w:val="009D5031"/>
    <w:rsid w:val="00A2416A"/>
    <w:rsid w:val="00A52473"/>
    <w:rsid w:val="00A54113"/>
    <w:rsid w:val="00AB5D3C"/>
    <w:rsid w:val="00B10182"/>
    <w:rsid w:val="00B14FA3"/>
    <w:rsid w:val="00B15C9D"/>
    <w:rsid w:val="00B34D42"/>
    <w:rsid w:val="00BD323E"/>
    <w:rsid w:val="00C075CF"/>
    <w:rsid w:val="00C334D8"/>
    <w:rsid w:val="00C871BE"/>
    <w:rsid w:val="00D135DE"/>
    <w:rsid w:val="00D21814"/>
    <w:rsid w:val="00D271B0"/>
    <w:rsid w:val="00D32DC3"/>
    <w:rsid w:val="00D53327"/>
    <w:rsid w:val="00D537D7"/>
    <w:rsid w:val="00D61130"/>
    <w:rsid w:val="00D65728"/>
    <w:rsid w:val="00D90B88"/>
    <w:rsid w:val="00DD4A44"/>
    <w:rsid w:val="00E3331E"/>
    <w:rsid w:val="00E35DEE"/>
    <w:rsid w:val="00E407AF"/>
    <w:rsid w:val="00EE5DC0"/>
    <w:rsid w:val="00EF23D4"/>
    <w:rsid w:val="00F071B1"/>
    <w:rsid w:val="00F10FB3"/>
    <w:rsid w:val="00F23B67"/>
    <w:rsid w:val="00F91580"/>
    <w:rsid w:val="00FE5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spacing w:after="40" w:line="264" w:lineRule="auto"/>
      <w:ind w:firstLine="420"/>
      <w:jc w:val="both"/>
    </w:pPr>
    <w:rPr>
      <w:rFonts w:ascii="Times New Roman" w:eastAsia="宋体" w:hAnsi="Times New Roman" w:cs="Times New Roman"/>
      <w:color w:val="000000"/>
      <w:sz w:val="21"/>
      <w14:ligatures w14:val="none"/>
    </w:rPr>
  </w:style>
  <w:style w:type="paragraph" w:styleId="1">
    <w:name w:val="heading 1"/>
    <w:basedOn w:val="a"/>
    <w:next w:val="a"/>
    <w:link w:val="10"/>
    <w:uiPriority w:val="9"/>
    <w:qFormat/>
    <w:rsid w:val="00EE5DC0"/>
    <w:pPr>
      <w:keepNext/>
      <w:keepLines/>
      <w:spacing w:before="180" w:after="80"/>
      <w:ind w:firstLine="0"/>
      <w:jc w:val="left"/>
      <w:outlineLvl w:val="0"/>
    </w:pPr>
    <w:rPr>
      <w:rFonts w:asciiTheme="majorHAnsi" w:eastAsiaTheme="majorEastAsia" w:hAnsiTheme="majorHAnsi" w:cstheme="majorBidi" w:ascii="Times New Roman" w:hAnsi="Times New Roman" w:eastAsia="黑体"/>
      <w:color w:val="000000"/>
      <w:sz w:val="24"/>
      <w:szCs w:val="48"/>
      <w14:ligatures w14:val="standardContextual"/>
    </w:rPr>
  </w:style>
  <w:style w:type="paragraph" w:styleId="2">
    <w:name w:val="heading 2"/>
    <w:basedOn w:val="a"/>
    <w:next w:val="a"/>
    <w:link w:val="20"/>
    <w:unhideWhenUsed/>
    <w:qFormat/>
    <w:rsid w:val="00EE5DC0"/>
    <w:pPr>
      <w:keepNext/>
      <w:keepLines/>
      <w:spacing w:before="120" w:after="80"/>
      <w:ind w:firstLine="0"/>
      <w:jc w:val="left"/>
      <w:outlineLvl w:val="1"/>
    </w:pPr>
    <w:rPr>
      <w:rFonts w:asciiTheme="majorHAnsi" w:eastAsiaTheme="majorEastAsia" w:hAnsiTheme="majorHAnsi" w:cstheme="majorBidi" w:ascii="Times New Roman" w:hAnsi="Times New Roman" w:eastAsia="黑体"/>
      <w:color w:val="000000"/>
      <w:sz w:val="22"/>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ascii="Times New Roman" w:hAnsi="Times New Roman" w:eastAsia="黑体"/>
      <w:color w:val="000000"/>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160"/>
      <w:ind w:firstLine="0"/>
      <w:contextualSpacing/>
      <w:jc w:val="center"/>
    </w:pPr>
    <w:rPr>
      <w:rFonts w:asciiTheme="majorHAnsi" w:eastAsiaTheme="majorEastAsia" w:hAnsiTheme="majorHAnsi" w:cstheme="majorBidi" w:ascii="Times New Roman" w:hAnsi="Times New Roman" w:eastAsia="黑体"/>
      <w:color w:val="000000"/>
      <w:spacing w:val="-10"/>
      <w:kern w:val="28"/>
      <w:sz w:val="32"/>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ascii="Times New Roman" w:hAnsi="Times New Roman" w:eastAsia="宋体"/>
      <w:color w:val="000000"/>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 w:type="paragraph" w:customStyle="1" w:styleId="Caption">
    <w:name w:val="caption"/>
    <w:rPr>
      <w:rFonts w:ascii="Times New Roman" w:hAnsi="Times New Roman" w:eastAsia="宋体"/>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6.png"/><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10</Pages>
  <Words>2278</Words>
  <Characters>12991</Characters>
  <Application>Microsoft Office Word</Application>
  <DocSecurity>0</DocSecurity>
  <Lines>108</Lines>
  <Paragraphs>30</Paragraphs>
  <ScaleCrop>false</ScaleCrop>
  <Company/>
  <LinksUpToDate>false</LinksUpToDate>
  <CharactersWithSpaces>15239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25</cp:revision>
  <dcterms:created xsi:type="dcterms:W3CDTF">2026-09-15T14:23:00Z</dcterms:created>
  <dcterms:modified xsi:type="dcterms:W3CDTF">2026-10-08T12:02:00Z</dcterms:modified>
</cp:coreProperties>
</file>