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低于所列基线。图2给出相对LightTS的误差降幅与参数比例：在Abilene和GÉANT上，MSE平均相对降幅分别为25.77%和43.74%，MAE为12.66%和29.09%。本文模型均含8339个参数，LightTS两套配置分别含130162和384382个参数，对应比例为6.41%和2.17%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低于所列对照。相对DLinear，MSE的平均相对降幅分别为2.77%和2.35%；相对全局可学习权重，分别为1.80%和4.31%。全局权重在窗口间保持一致，而本文方法以窗口统计量调整尺度组合；结合恒定输入路由的对照，结果支持了在该24 h任务中依据窗口信息进行融合预测的设计。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以训练集各OD变量的第90百分位为高需求阈值，在测试集中超过对应阈值的目标点上计算MAE与平均低估误差。后者将低估时的差额计入，其他情况记为0，再对全部高需求点取平均，结果见图3。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平均低估误差分别为0.147和0.137，在GÉANT上分别为0.632和0.577，两项均值均低于所列对照。相对DLinear，Abilene两项指标的平均相对降幅分别为13.96%和16.07%。MAE反映总体偏差，平均低估误差侧重于预测需求不足的幅度，二者共同反映了该24 h任务中高需求点估计的改善，可为容量需求分析提供参考。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表4中，本文方法的平均MSE和MAE均为最优，较DLinear平均降低23.16%和11.16%。图4中，小圆点为单次配对降幅，菱形及横线为均值与样本标准差；相对每个对照，8次重复的两项误差均降低。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