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为聚合窗口内的时间索引。三个尺度的时间分辨率分别为1、2和4 h，输入长度为96、48和24步，均覆盖同一96 h历史窗口。尺度1保留逐小时变化，尺度2和4以相邻时段的均值组织输入，从而在相同历史范围内形成不同平滑程度的表示。三个尺度使用结构相同、参数独立的DLinear专家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反映各变量标准化后相对训练期均值的整体偏移，标准差概括时间与变量两个维度上的离散程度。末时刻均值汇总窗口末端的状态，而平均绝对一阶差分反映相邻小时变化幅度的平均水平。由此，四维向量兼顾窗口整体、近期状态与时序变化，并为路由网络学习尺度权重提供固定维数的输入。尺度分数计算为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和MAE均低于所列基线。图2给出相对LightTS的误差降幅与参数比例：在Abilene和GÉANT上，MSE平均相对降幅分别为25.77%和43.74%，MAE为12.66%和29.09%。本文模型均含8339个参数，LightTS两套配置分别含130162和384382个参数，对应比例为6.41%和2.17%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)的柱高为八个共同种子的平均相对降幅，误差线为样本标准差；图2(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)以对应LightTS配置的参数量为100%，给出本文模型的参数比例。该结果表明，在所设24 h任务中，多尺度线性预测与低维窗口融合能够兼顾参数规模和预测误差。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在两套数据上的平均MSE和MAE均低于所列对照。相对DLinear，MSE的平均相对降幅分别为2.77%和2.35%；相对全局可学习权重，分别为1.80%和4.31%。全局权重在窗口间保持一致，而本文方法以窗口统计量调整尺度组合；结合恒定输入路由的对照，结果支持了在该24 h任务中依据窗口信息进行融合预测的设计。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以训练集各OD变量的第90百分位为高需求阈值，在测试集中超过对应阈值的目标点上计算MAE与平均低估误差。后者将低估时的差额计入，其他情况记为0，再对全部高需求点取平均，结果见图3。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平均低估误差分别为0.147和0.137，在GÉANT上分别为0.632和0.577，两项均值均低于所列对照。相对DLinear，Abilene两项指标的平均相对降幅分别为13.96%和16.07%。MAE反映总体偏差，平均低估误差侧重于预测需求不足的幅度，二者共同反映了该24 h任务中高需求点估计的改善，可为容量需求分析提供参考。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GÉANT一周预测中本文方法相对各对照的误差降幅（8次重复）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表4中，本文方法的平均MSE和MAE均为最优，较DLinear平均降低23.16%和11.16%。图4中，小圆点为单次配对降幅，菱形及横线为均值与样本标准差；相对每个对照，8次重复的两项误差均降低。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