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widowControl/>
        <w:jc w:val="center"/>
        <w:spacing w:before="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自适应多尺度加权的多变量网络流量预测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收稿日期：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作者简介：柯亚文（1998—），男（汉族），安徽池州人，助教，硕士研究生学历，硕士学位，主要研究方向：计算机软件。联系电话：12345678900；电子邮箱：keyawen@afc.edu.cn。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柯亚文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（安徽财贸职业学院 信息工程学院，安徽 合肥 231200）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摘要：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提出自适应多尺度加权方法，按窗口统计量融合三个分解线性模型（DLinear）的小时级流量预测。8次重复中，Abilene和GÉANT的24 h均方误差较LightTS平均降低25.77%和43.74%，参数量为其6.41%和2.17%。较DLinear，Abilene高需求点平均低估误差降低16.07%，GÉANT的168 h均方误差和平均绝对误差降低23.16%和11.16%，辅助容量需求估计。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关键词：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网络流量预测；多变量时间序列；多尺度学习；自适应加权；分解线性模型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中图分类号：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TP393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文献标志码：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文章编号：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  <w:sectPr w:rsidR="00B503EC" w:rsidRPr="00D6245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doi：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0　引言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骨干网的容量配置与资源管理需要估计未来的通信需求，而源—目的节点对（origin-destination，OD）的流量预测能够为需求分析提供数据依据。小时级OD流量既包含局部波动，也呈现较慢的趋势变化，而且不同历史窗口的波动幅度与近期变化状态有所不同。因此，预测模型需要提取不同时间尺度的信息，并结合当前窗口的统计特征融合各尺度预测，从而估计未来多个时刻的流量需求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围绕网络流量预测，已有研究从时间依赖、变量关联与周期结构等方面开展探索。Lohrasbinasab等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总结了统计方法和机器学习方法的研究进展；Qin等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利用图神经网络建模时空关联，韦烜等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[3]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讨论了大型网际协议（Internet Protocol，IP）网络流量矩阵的变量关系与时间变化，唐文杰等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[4]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则通过周期性整合组织流量信息。这些研究为流量序列的结构建模提供了不同思路。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在时间结构建模方面，Zhou等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[5]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通过深度回声状态网络开展多尺度流量预测。分解线性模型（decomposition linear model，DLinear）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将趋势项和余项分别映射至预测区间，TimeMixer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[7]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采用可分解多尺度混合；TimesNet公开基准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则将基于多层感知机（multilayer perceptron，MLP）的LightTS纳入比较。多尺度信息的提取还需与融合方式相配合。固定等权或全局权重在窗口间共享融合系数，因而不能根据当前窗口的变化状态调整尺度权重。本文关注如何在控制参数规模的同时，利用窗口信息调整尺度权重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据此，本文将三个独立DLinear专家与四维窗口统计特征驱动的尺度路由相结合，构建自适应多尺度加权预测模型。时间聚合形成多分辨率输入，各专家在OD变量间共享时间映射，使参数量不随变量数增加；路由网络仅含131个参数，根据窗口状态分配尺度权重。在Abilene和GÉANT上以96 h输入开展24 h预测、融合消融与高需求点分析，并在GÉANT上开展168 h预测，评价预测误差与参数规模。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1　自适应多尺度网络流量预测方法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所提方法由多尺度预测分支和尺度路由分支组成，图1以24 h预测任务为例展示整体流程。预测分支提取不同时间分辨率下的趋势与余项，路由分支则根据当前窗口的统计特征分配尺度权重。两条分支共同作用，输出未来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个小时的逐小时OD流量预测。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1" type="#_x0000_t202" style="width:391.1811pt;height:271.4245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3167691"/>
                        <wp:docPr id="101" name="图1" descr="Original schematic: all labels, example curves and connections preserved; typography only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1.png"/>
                                <ns0:cNvPicPr/>
                              </ns0:nvPicPr>
                              <ns0:blipFill>
                                <ns0:blip xmlns:ns0="http://schemas.openxmlformats.org/drawingml/2006/main" r:embed="rId19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3167691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图1 自适应多尺度网络流量预测框架</w:t>
                  </w:r>
                </w:p>
              </w:txbxContent>
            </v:textbox>
          </v:shape>
        </w:pic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1.1　数据表示与预处理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记预处理后的多变量流量向量为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，包含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个OD变量。沿时间轴以1 h步长构造滑动窗口，第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个样本由长度为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的历史输入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和其后长度为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的目标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Yₙ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组成，其中行对应时间点，列对应OD变量：</w:t>
      </w:r>
    </w:p>
    <w:p w14:paraId="6F17DC21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(1)</w:t>
      </w:r>
    </w:p>
    <w:p w14:paraId="0164DA1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=24，一周任务取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=168。数据读取时，将缺失值和无穷值记为0，并将负值截为0。考虑到流量非负且变量量级不同，先进行自然对数变换，再按变量标准化：</w:t>
      </w:r>
    </w:p>
    <w:p w14:paraId="707F6E5C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u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log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v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(3)</w:t>
      </w:r>
    </w:p>
    <w:p w14:paraId="64DE62A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σ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为原始流量，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u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为对数变换后的流量；下标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分别表示时间与变量，上标tr表示训练集统计量，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分别为对应变量的均值和标准差。验证集与测试集沿用训练统计量。数据首先按时间顺序划分，再在各子集中独立生成滑动窗口，使输入与目标均位于对应时间段内。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1.2　多尺度构造与线性专家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为了在同一历史范围内兼顾局部变化与平滑趋势，设置尺度集合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={1,2,4}。对历史输入沿时间维进行非重叠平均池化，聚合长度与步长均为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，得到</w:t>
      </w:r>
    </w:p>
    <w:p w14:paraId="3080208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t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i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为聚合窗口内的时间索引。三个尺度均覆盖同一96 h历史，分别以1 h输入值、2 h均值和4 h均值构成96、48和24步序列。各尺度使用结构相同、参数独立的DLinear专家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，并统一输出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步预测。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在每个尺度上，采用长度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q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=25的中心移动平均提取趋势项，序列两端通过复制端点补齐。设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=12，补齐后的输入参与下式计算：</w:t>
      </w:r>
    </w:p>
    <w:p w14:paraId="414FF6C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q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=-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</m:acc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(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q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</m:t>
        </m:r>
        <m:r>
          <w:rPr>
            <w:rFonts w:ascii="Times New Roman" w:hAnsi="Times New Roman" w:cs="Times New Roman"/>
            <w:sz w:val="21"/>
            <w:szCs w:val="21"/>
          </w:rPr>
          <m:t>m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25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(6)</w:t>
      </w:r>
    </w:p>
    <w:p w14:paraId="33BA619F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(7)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式中，带波浪号的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表示端点补齐序列，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分别表示趋势项和余项。随后，两个线性层沿时间维分别完成映射，并将其输出相加，得到尺度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的预测：</w:t>
      </w:r>
    </w:p>
    <w:p w14:paraId="7AF0577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(8)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分别为线性层的权重和偏置，下标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表示对应分量。各权重矩阵的维度为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)，偏置为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维，并在OD变量之间共享。由此，各尺度输出均为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，可直接进行后续融合。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1.3　窗口统计特征与自适应加权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完成各尺度预测后，路由分支从原始时间分辨率的预处理窗口中提取均值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、标准差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、末时刻均值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ℓₙ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和平均绝对一阶差分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dₙ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，组成四维窗口整体统计特征向量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zₙ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。各统计量定义为</w:t>
      </w:r>
    </w:p>
    <w:p w14:paraId="31F9D3F4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μ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LC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σ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LC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0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(9)</w:t>
      </w:r>
    </w:p>
    <w:p w14:paraId="5845123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d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|</m:t>
                </m:r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(10)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均值反映标准化窗口相对训练期均值的整体偏移，标准差概括时间与变量两个维度的离散程度；末时刻均值表征窗口末端状态，平均绝对一阶差分反映相邻小时的变化幅度。由此，路由网络以四维输入汇总窗口状态，尺度分数计算为：</w:t>
      </w:r>
    </w:p>
    <w:p w14:paraId="528ACD1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a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ReLU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z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(11)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aₙ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为尺度分数向量，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分别为两层网络的权重矩阵和偏置。第一层将四维特征映射到16维隐藏层，经修正线性单元（rectified linear unit，ReLU）激活后，第二层输出三个尺度分数。两层权重矩阵分别为16×4和3×16，偏置分别为16维和3维。进一步采用归一化指数函数（Softmax），得到</w:t>
      </w:r>
    </w:p>
    <w:p w14:paraId="2D027ED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exp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∈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exp</m:t>
                </m:r>
              </m:e>
            </m:nary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≥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其中，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αₙ,ₛ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个窗口在尺度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上的融合权重，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j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为尺度集合中的求和索引。三个非负权重之和为1，并在当前窗口的全部OD变量和预测步之间共享。最终预测为</w:t>
      </w:r>
    </w:p>
    <w:p w14:paraId="4DBD2A18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(13)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1.4　模型训练与参数规模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尺度专家与路由网络联合训练，以均方误差（mean squared error，MSE）为损失函数，对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个训练样本、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个预测步和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个变量的平方误差取平均：</w:t>
      </w:r>
    </w:p>
    <w:p w14:paraId="73383E0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MSE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NHC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采用自适应矩估计（adaptive moment estimation，Adam）优化器更新参数，并依据验证集MSE选择模型。每个尺度包含两个线性层，参数量为2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+1)；路由网络参数量为4×16+16+16×3+3=131。因此，当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=24时，模型总参数量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P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</w:t>
      </w:r>
    </w:p>
    <w:p>
      <w:pPr>
        <w:pStyle w:val="JournalEquation"/>
        <w:widowControl/>
        <w:jc w:val="center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m:oMath>
        <m:r>
          <w:rPr>
            <w:rFonts w:ascii="Times New Roman" w:hAnsi="Times New Roman" w:cs="Times New Roman"/>
            <w:sz w:val="21"/>
            <w:szCs w:val="21"/>
          </w:rPr>
          <m:t>P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nary>
          <m:naryPr>
            <m:chr m:val="∑"/>
            <m:limLoc m:val="subSup"/>
            <m:supHide m:val="1"/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/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131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8339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1"/>
            <w:szCs w:val="21"/>
            <w:i w:val="0"/>
            <w:b w:val="0"/>
          </w:rPr>
          <m:t>.</m:t>
        </m:r>
      </m:oMath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同一尺度的线性映射在变量间共享，因此参数量不随OD变量数增加；24 h配置中，路由参数仅占总参数量的1.57%。当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=168时，模型含57587个参数，路由网络仍为131个参数。模型依次通过多尺度预测与自适应融合，输出标准化空间中的多步预测结果。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2　实验与结果分析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2.1　数据与实验设置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实验采用CESNET TS-Zoo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中1 h粒度的Abilene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与GÉANT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流量矩阵，两套数据分别含4656和2849个时间点。按时间顺序以6∶2∶2划分训练集、验证集和测试集，并独立训练和评价。对数变换后，仅保留训练集标准差大于10⁻⁸的变量，Abilene保留144个OD变量，GÉANT保留524个OD变量。两套数据均开展24 h预测，GÉANT另设168 h预测任务，数据划分与样本窗口数见表1。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表1 数据集规模与预测任务设置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1134"/>
        <w:gridCol w:w="2778"/>
        <w:gridCol w:w="2665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有效变量数</w:t>
            </w:r>
          </w:p>
        </w:tc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预测时长/h</w:t>
            </w:r>
          </w:p>
        </w:tc>
        <w:tc>
          <w:tcPr>
            <w:tcW w:type="dxa" w:w="277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训练/验证/测试时间点</w:t>
            </w:r>
          </w:p>
        </w:tc>
        <w:tc>
          <w:tcPr>
            <w:tcW w:type="dxa" w:w="2665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训练/验证/测试窗口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</w:t>
            </w:r>
          </w:p>
        </w:tc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2793/931/932</w:t>
            </w:r>
          </w:p>
        </w:tc>
        <w:tc>
          <w:tcPr>
            <w:tcW w:type="dxa" w:w="2665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2674/812/813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1590/451/451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168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1446/307/307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基础实验中，各模型均以96 h历史预测未来24 h，批量大小为16。DLinear及多尺度模型的学习率为0.001，最多训练30轮，早停耐心值为6；LightTS采用TimesNet公开基准代码库的实现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，分块长度为24、模型维度为512，学习率为0.0001，最多训练50轮，早停耐心值为10。各模型均按验证集MSE选择检查点。软件环境为Python 3.11.9和PyTorch 2.5.1。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各模型均采用42～49八个共同随机种子重复训练。误差报告均值与样本标准差，误差线表示样本标准差；相对降幅按相同种子下的结果计算，再取平均。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采用MSE和平均绝对误差（mean absolute error，MAE）评价预测结果，两项指标均在对数变换与逐变量标准化后的空间计算。测试集MSE按式（14）计算，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取相应测试窗口数；MAE为</w:t>
      </w:r>
    </w:p>
    <w:p w14:paraId="1CAEA4A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MAE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  <m:r>
              <w:rPr>
                <w:rFonts w:ascii="Times New Roman" w:hAnsi="Times New Roman" w:cs="Times New Roman"/>
                <w:sz w:val="21"/>
                <w:szCs w:val="21"/>
              </w:rPr>
              <m:t>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|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Nₜₑ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为测试窗口数。MSE对较大偏差更敏感，MAE反映平均绝对偏差；两项指标越小，预测误差越低。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2.2　预测精度比较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选取单尺度DLinear和LightTS作为基线，在相同测试窗口上进行比较，结果见表2。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表2 基线模型的24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0.255±0.014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0.761±0.056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0.516±0.013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2中，本文方法在两套数据上的平均MSE和MAE均低于所列基线。图2给出相对LightTS的误差降幅与参数比例：在Abilene和GÉANT上，MSE平均相对降幅分别为25.77%和43.74%，MAE为12.66%和29.09%。本文模型均含8339个参数，LightTS两套配置分别含130162和384382个参数，对应比例为6.41%和2.17%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2" type="#_x0000_t202" style="width:391.1811pt;height:176.8400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1966468"/>
                        <wp:docPr id="102" name="图2" descr="Same twelve paired reductions, three seeds per dataset/metric; sample SD. Deterministic parameter ratios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2.png"/>
                                <ns0:cNvPicPr/>
                              </ns0:nvPicPr>
                              <ns0:blipFill>
                                <ns0:blip xmlns:ns0="http://schemas.openxmlformats.org/drawingml/2006/main" r:embed="rId20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1966468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图2 相对LightTS的预测误差降低率与参数比例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a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)、(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)的柱高为八个共同种子的平均相对降幅，误差线为样本标准差；图2(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)以对应LightTS配置的参数量为100%，给出本文模型的参数比例。该结果表明，在所设24 h任务中，多尺度线性预测与低维窗口融合能够兼顾参数规模和预测误差。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2.3　融合方式消融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保持三个独立DLinear专家与尺度集合不变，比较融合方式。固定等权模型将权重设为1/3；全局可学习权重模型（图中简称“全局权重”）以三个可训练分数生成所有窗口共用的权重；恒定输入路由模型（图中简称“恒定路由”）保留两层路由网络，并输入全零特征。各对照均以真实历史序列驱动尺度专家，结果见表3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表3 融合方式的24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0.190±0.006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0.447±0.014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0.446±0.014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0.449±0.012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0.379±0.007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3中，本文方法在两套数据上的平均MSE和MAE均低于所列对照。相对DLinear，MSE的平均相对降幅分别为2.77%和2.35%；相对全局可学习权重，分别为1.80%和4.31%。全局权重在窗口间保持一致，而本文方法以窗口统计量调整尺度组合；结合恒定输入路由的对照，结果支持了在该24 h任务中依据窗口信息进行融合预测的设计。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2.4　高需求预测表现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以训练集各OD变量的第90百分位为高需求阈值，在测试集中超过对应阈值的目标点上计算MAE与平均低估误差。后者将低估时的差额计入，其他情况记为0，再对全部高需求点取平均，结果见图3。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3" type="#_x0000_t202" style="width:391.1811pt;height:212.8493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423786"/>
                        <wp:docPr id="103" name="图3" descr="All eighty high-demand dataset/model/seed rows. Same means and sample SD; only fonts, tick direction and grid styling 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3.png"/>
                                <ns0:cNvPicPr/>
                              </ns0:nvPicPr>
                              <ns0:blipFill>
                                <ns0:blip xmlns:ns0="http://schemas.openxmlformats.org/drawingml/2006/main" r:embed="rId21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423786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图3 高需求预测点的MAE与平均低估误差（8次重复）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3中，本文方法在Abilene上的MAE与平均低估误差分别为0.147和0.137，在GÉANT上分别为0.632和0.577，两项均值均低于所列对照。相对DLinear，Abilene两项指标的平均相对降幅分别为13.96%和16.07%。MAE反映总体偏差，平均低估误差侧重于预测需求不足的幅度，二者共同反映了该24 h任务中高需求点估计的改善，可为容量需求分析提供参考。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2.5　一周预测表现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一周预测取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=168，保持96 h输入及原有数据划分与预处理。表4所列五种模型均沿用2.1节的训练设置，按168 h输出独立训练，并在GÉANT的全部307个测试窗口上评价。</w:t>
      </w:r>
    </w:p>
    <w:p xmlns:w="http://schemas.openxmlformats.org/wordprocessingml/2006/main"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表4 GÉANT一周预测的绝对误差（8次重复）</w:t>
      </w:r>
    </w:p>
    <w:tbl xmlns:w="http://schemas.openxmlformats.org/wordprocessingml/2006/main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608"/>
        <w:gridCol w:w="2608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1.100±0.091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0.604±0.021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1.149±0.107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0.614±0.027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1.148±0.108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0.613±0.027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1.102±0.028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0.604±0.010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0.841±0.088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0.536±0.028</w:t>
            </w:r>
          </w:p>
        </w:tc>
      </w:tr>
    </w:tbl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4" type="#_x0000_t202" style="width:391.1811pt;height:194.8446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195127"/>
                        <wp:docPr id="104" name="图4" descr="Same forty GÉANT H168 model/seed rows; all five models and eight seeds; mean and sample SD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4.png"/>
                                <ns0:cNvPicPr/>
                              </ns0:nvPicPr>
                              <ns0:blipFill>
                                <ns0:blip xmlns:ns0="http://schemas.openxmlformats.org/drawingml/2006/main" r:embed="rId22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195127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图4 GÉANT一周预测中本文方法相对各对照的误差降幅（8次重复）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表4中，本文方法的平均MSE和MAE均为最优，较DLinear平均降低23.16%和11.16%。图4中，小圆点为单次配对降幅，菱形及横线为均值与样本标准差；相对每个对照，8次重复的两项误差均降低。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3　结语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本文面向小时级骨干网流量预测，构建了由三个独立DLinear专家和低维路由网络组成的自适应多尺度模型。通过时间聚合形成不同分辨率的输入，再以四维窗口统计量计算尺度权重，实现多尺度候选预测的融合。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24 h任务的基线比较和融合消融表明，本文方法在Abilene和GÉANT上均取得了较低的平均预测误差。相对LightTS，MSE的平均相对降幅分别为25.77%和43.74%，参数量分别为对应LightTS配置的6.41%和2.17%。在GÉANT的一周任务中，MSE与MAE相对DLinear的平均相对降幅分别为23.16%和11.16%。结合高需求点的预测结果，这些实验为利用低维窗口信息融合多尺度预测提供了依据，可为小时级OD流量需求分析提供方法参考。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ReferenceHeading"/>
        <w:widowControl/>
        <w:jc w:val="left"/>
        <w:spacing w:before="0" w:after="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参考文献：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[1] LOHRASBINASAB I, SHAHRAKI A, TAHERKORDI A, et al. From statistical- to machine learning-based network traffic prediction[J]. Transactions on Emerging Telecommunications Technologies, 2022, 33(4): e4394. DOI: 10.1002/ett.4394.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[2] QIN Liang, GU Huaxi, WEI Wenting, et al. Spatio-temporal communication network traffic prediction method based on graph neural network[J]. Information Sciences, 2024, 679: 121003. DOI: 10.1016/j.ins.2024.121003.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[3] 韦烜, 刘志华, 李青, 等. 大型IP网络流量矩阵分析预测的探讨研究[J]. 系统工程与电子技术, 2024, 46(6): 2164-2173. DOI: 10.12305/j.issn.1001-506X.2024.06.35.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[4] 唐文杰, 肖一磊, 孔祥宇, 等. CycleLLH：一种基于周期性整合的新型网络流量预测模型[J]. 计算机学报, 2024, 47(12): 2867-2888. DOI: 10.11897/SP.J.1016.2024.02867.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[5] ZHOU Jian, HAN Taotao, XIAO Fu, et al. Multiscale network traffic prediction method based on deep echo-state network for Internet of Things[J]. IEEE Internet of Things Journal, 2022, 9(21): 21862-21874. DOI: 10.1109/JIOT.2022.3181807.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[6] ZENG Ailing, CHEN Muxi, ZHANG Lei, et al. Are transformers effective for time series forecasting?[J]. Proceedings of the AAAI Conference on Artificial Intelligence, 2023, 37(9): 11121-11128. DOI: 10.1609/aaai.v37i9.26317.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[7] WANG Shiyu, WU Haixu, SHI Xiaoming, et al. TimeMixer: decomposable multiscale mixing for time series forecasting[C/OL]//The Twelfth International Conference on Learning Representations. 2024[2026-10-21]. https://openreview.net/forum?id=7oLshfEIC2.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[8] WU Haixu, HU Tengge, LIU Yong, et al. TimesNet: temporal 2D-variation modeling for general time series analysis[C/OL]//The Eleventh International Conference on Learning Representations. 2023[2026-10-21]. https://openreview.net/forum?id=ju_Uqw384Oq.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[9] KUREŠ M, KOUMAR J, HYNEK K. CESNET TS-Zoo: a library for reproducible analysis of network traffic time series[C]//2025 21st International Conference on Network and Service Management. New York: IEEE, 2025: 1-5. DOI: 10.23919/CNSM67658.2025.11297513.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[10] ZHANG Yin, ROUGHAN M, DUFFIELD N, et al. Fast accurate computation of large-scale IP traffic matrices from link loads[J]. ACM SIGMETRICS Performance Evaluation Review, 2003, 31(1): 206-217. DOI: 10.1145/885651.781053.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[11] UHLIG S, QUOITIN B, LEPROPRE J, et al. Providing public intradomain traffic matrices to the research community[J]. ACM SIGCOMM Computer Communication Review, 2006, 36(1): 83-86. DOI: 10.1145/1111322.1111341.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  <w:sectPr w:rsidR="00B503EC" w:rsidSect="00C96848">
          <w:footerReference w:type="default" r:id="rId16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>
      <w:pPr>
        <w:pStyle w:val="Title"/>
        <w:widowControl/>
        <w:jc w:val="center"/>
        <w:spacing w:before="36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Multivariate network traffic forecasting with adaptive multiscale weighting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KE Yawen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(School of Information Engineering, Anhui Finance &amp; Trade Vocational College, Hefei Anhui 231200, China)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Abstract: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An adaptive multiscale weighting method forecasts hourly traffic by combining three decomposition linear models (DLinear) according to window statistics. Across eight training runs, mean relative reductions in 24-hour mean squared error versus LightTS are 25.77% on Abilene and 43.74% on GÉANT. Parameter counts are 6.41% and 2.17% of the respective LightTS configurations. Relative to DLinear, the mean shortfall at high-demand Abilene points decreases by 16.07%. For 168-hour GÉANT forecasting against DLinear, mean squared error and mean absolute error decrease by 23.16% and 11.16%, respectively. These results support capacity demand estimation using hourly traffic forecasts.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Key words: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network traffic forecasting; multivariate time series; multiscale learning; adaptive weighting; decomposition linear model</w:t>
      </w:r>
    </w:p>
    <w:sectPr w:rsidR="002C04BD" w:rsidRPr="007D486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4024" w14:textId="77777777" w:rsidR="009C24A7" w:rsidRDefault="009C24A7">
      <w:r>
        <w:separator/>
      </w:r>
    </w:p>
  </w:endnote>
  <w:endnote w:type="continuationSeparator" w:id="0">
    <w:p w14:paraId="6CC3D12B" w14:textId="77777777" w:rsidR="009C24A7" w:rsidRDefault="009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MR10">
    <w:altName w:val="方正舒体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F451" w14:textId="77777777" w:rsidR="0066045D" w:rsidRPr="0066045D" w:rsidRDefault="0066045D" w:rsidP="006604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A998" w14:textId="77777777" w:rsidR="009C24A7" w:rsidRDefault="009C24A7">
      <w:r>
        <w:separator/>
      </w:r>
    </w:p>
  </w:footnote>
  <w:footnote w:type="continuationSeparator" w:id="0">
    <w:p w14:paraId="0A92B76C" w14:textId="77777777" w:rsidR="009C24A7" w:rsidRDefault="009C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FB89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7171"/>
    <w:rsid w:val="008E7DCB"/>
    <w:rsid w:val="008F5542"/>
    <w:rsid w:val="009212C7"/>
    <w:rsid w:val="009233D7"/>
    <w:rsid w:val="009A0CF8"/>
    <w:rsid w:val="009B5166"/>
    <w:rsid w:val="009C24A7"/>
    <w:rsid w:val="009D5E4C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5501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58"/>
    <o:shapelayout v:ext="edit">
      <o:idmap v:ext="edit" data="2"/>
    </o:shapelayout>
  </w:shapeDefaults>
  <w:decimalSymbol w:val="."/>
  <w:listSeparator w:val=","/>
  <w14:docId w14:val="48B729DC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Char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 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Char">
    <w:name w:val="页眉 Char"/>
    <w:basedOn w:val="a0"/>
    <w:link w:val="a7"/>
    <w:uiPriority w:val="99"/>
    <w:rsid w:val="00F5270A"/>
    <w:rPr>
      <w:kern w:val="2"/>
      <w:sz w:val="18"/>
      <w:szCs w:val="18"/>
    </w:rPr>
  </w:style>
  <w:style w:type="paragraph" w:styleId="aa">
    <w:name w:val="Balloon Text"/>
    <w:basedOn w:val="a"/>
    <w:link w:val="Char0"/>
    <w:rsid w:val="00F5270A"/>
    <w:rPr>
      <w:sz w:val="18"/>
      <w:szCs w:val="18"/>
    </w:rPr>
  </w:style>
  <w:style w:type="character" w:customStyle="1" w:styleId="Char0">
    <w:name w:val="批注框文本 Char"/>
    <w:basedOn w:val="a0"/>
    <w:link w:val="aa"/>
    <w:rsid w:val="00F5270A"/>
    <w:rPr>
      <w:kern w:val="2"/>
      <w:sz w:val="18"/>
      <w:szCs w:val="18"/>
    </w:rPr>
  </w:style>
  <w:style w:type="character" w:styleId="ab">
    <w:name w:val="Hyperlink"/>
    <w:basedOn w:val="a0"/>
    <w:rsid w:val="00D62458"/>
    <w:rPr>
      <w:color w:val="0000FF"/>
      <w:u w:val="single"/>
    </w:rPr>
  </w:style>
  <w:style w:type="paragraph" w:styleId="Title">
    <w:name w:val="Title"/>
    <w:basedOn w:val="Normal"/>
    <w:next w:val="JournalBody"/>
    <w:pPr>
      <w:widowControl/>
      <w:jc w:val="center"/>
      <w:spacing w:before="0" w:after="1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8"/>
      <w:szCs w:val="28"/>
    </w:rPr>
  </w:style>
  <w:style w:type="paragraph" w:styleId="JournalAuthor">
    <w:name w:val="JournalAuthor"/>
    <w:basedOn w:val="Normal"/>
    <w:next w:val="JournalBody"/>
    <w:pPr>
      <w:widowControl/>
      <w:jc w:val="center"/>
      <w:spacing w:before="0" w:after="8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ffiliation">
    <w:name w:val="JournalAffiliation"/>
    <w:basedOn w:val="Normal"/>
    <w:next w:val="JournalBody"/>
    <w:pPr>
      <w:widowControl/>
      <w:jc w:val="center"/>
      <w:spacing w:before="0" w:after="12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Metadata">
    <w:name w:val="JournalMetadata"/>
    <w:basedOn w:val="Normal"/>
    <w:next w:val="JournalBody"/>
    <w:pPr>
      <w:widowControl/>
      <w:jc w:val="left"/>
      <w:spacing w:before="0" w:after="4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bstract">
    <w:name w:val="JournalAbstract"/>
    <w:basedOn w:val="Normal"/>
    <w:next w:val="JournalBody"/>
    <w:pPr>
      <w:widowControl/>
      <w:jc w:val="both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Body">
    <w:name w:val="JournalBody"/>
    <w:basedOn w:val="Normal"/>
    <w:next w:val="JournalBody"/>
    <w:pPr>
      <w:widowControl/>
      <w:jc w:val="both"/>
      <w:spacing w:before="0" w:after="0" w:line="360" w:lineRule="exact"/>
      <w:ind w:left="0" w:right="0" w:firstLine="42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Heading1">
    <w:name w:val="JournalHeading1"/>
    <w:basedOn w:val="Normal"/>
    <w:next w:val="JournalBody"/>
    <w:pPr>
      <w:widowControl/>
      <w:jc w:val="left"/>
      <w:spacing w:before="100" w:after="100" w:line="360" w:lineRule="exact"/>
      <w:ind w:left="0" w:right="0" w:firstLine="0"/>
      <w:snapToGrid w:val="0"/>
      <w:keepNext/>
      <w:keepLines/>
      <w:outlineLvl w:val="0"/>
    </w:pPr>
    <w:rPr>
      <w:rFonts w:ascii="Times New Roman" w:hAnsi="Times New Roman" w:eastAsia="宋体" w:cs="Times New Roman"/>
      <w:b/>
      <w:color w:val="000000"/>
      <w:sz w:val="24"/>
      <w:szCs w:val="24"/>
    </w:rPr>
  </w:style>
  <w:style w:type="paragraph" w:styleId="JournalHeading2">
    <w:name w:val="JournalHeading2"/>
    <w:basedOn w:val="Normal"/>
    <w:next w:val="JournalBody"/>
    <w:pPr>
      <w:widowControl/>
      <w:jc w:val="left"/>
      <w:spacing w:before="60" w:after="60" w:line="360" w:lineRule="exact"/>
      <w:ind w:left="0" w:right="0" w:firstLine="0"/>
      <w:snapToGrid w:val="0"/>
      <w:keepNext/>
      <w:keepLines/>
      <w:outlineLvl w:val="1"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Caption">
    <w:name w:val="JournalCaption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b/>
      <w:color w:val="000000"/>
      <w:sz w:val="18"/>
      <w:szCs w:val="18"/>
    </w:rPr>
  </w:style>
  <w:style w:type="paragraph" w:styleId="JournalReference">
    <w:name w:val="JournalReference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ReferenceHeading">
    <w:name w:val="JournalReferenceHeading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Equation">
    <w:name w:val="JournalEquation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Figure">
    <w:name w:val="JournalFigure"/>
    <w:basedOn w:val="Normal"/>
    <w:next w:val="JournalBody"/>
    <w:pPr>
      <w:widowControl/>
      <w:jc w:val="center"/>
      <w:spacing w:before="0" w:after="10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Table">
    <w:name w:val="JournalTable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15"/>
      <w:szCs w:val="15"/>
    </w:rPr>
  </w:style>
  <w:style w:type="paragraph" w:styleId="JournalBlank">
    <w:name w:val="JournalBlank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jmenet.com.cn/standard/standardnom/GBT15835-1995.htm" TargetMode="External"/><Relationship Id="rId13" Type="http://schemas.openxmlformats.org/officeDocument/2006/relationships/hyperlink" Target="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61.139.105.144/kns50/Navi/Bridge.aspx?DBCode=cjfd&amp;LinkType=IssueLink&amp;Field=BaseID*year*issue&amp;TableName=CJFDYEARINFO&amp;Value=GCRB*2010*02&amp;NaviLink=%e5%b7%a5%e7%a8%8b%e7%83%ad%e7%89%a9%e7%90%86%e5%ad%a6%e6%8a%a5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yperlink" Target="http://61.139.105.144/kns50/Navi/Bridge.aspx?DBCode=cjfd&amp;LinkType=BaseLink&amp;Field=BaseID&amp;TableName=CJFDBASEINFO&amp;NaviLink=%e5%b7%a5%e7%a8%8b%e7%83%ad%e7%89%a9%e7%90%86%e5%ad%a6%e6%8a%a5&amp;Value=GCRB" TargetMode="External"/><Relationship Id="rId19" Type="http://schemas.openxmlformats.org/officeDocument/2006/relationships/image" Target="media/journal_figure1.png"/><Relationship Id="rId20" Type="http://schemas.openxmlformats.org/officeDocument/2006/relationships/image" Target="media/journal_figure2.png"/><Relationship Id="rId21" Type="http://schemas.openxmlformats.org/officeDocument/2006/relationships/image" Target="media/journal_figure3.png"/><Relationship Id="rId22" Type="http://schemas.openxmlformats.org/officeDocument/2006/relationships/image" Target="media/journal_figur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4497</Words>
  <Characters>5700</Characters>
  <Application>Microsoft Office Word</Application>
  <DocSecurity>4</DocSecurity>
  <Lines>225</Lines>
  <Paragraphs>150</Paragraphs>
  <ScaleCrop>false</ScaleCrop>
  <Company>Sky123.Org</Company>
  <LinksUpToDate>false</LinksUpToDate>
  <CharactersWithSpaces>6068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2</cp:revision>
  <dcterms:created xsi:type="dcterms:W3CDTF">2026-10-21T12:31:00Z</dcterms:created>
  <dcterms:modified xsi:type="dcterms:W3CDTF">2026-10-21T12:31:00Z</dcterms:modified>
</cp:coreProperties>
</file>