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widowControl/>
        <w:jc w:val="center"/>
        <w:spacing w:before="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自适应多尺度加权的多变量网络流量预测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收稿日期：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作者简介：柯亚文（1998—），男（汉族），安徽池州人，助教，硕士研究生学历，硕士学位，主要研究方向：计算机软件。联系电话：12345678900；电子邮箱：keyawen@afc.edu.cn。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柯亚文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（安徽财贸职业学院 信息工程学院，安徽 合肥 231200）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摘要：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提出自适应多尺度加权方法，按窗口统计量融合三个分解线性模型（DLinear）的小时级流量预测。8次重复中，Abilene和GÉANT的24 h均方误差较LightTS平均降低25.77%和43.74%，参数量为其6.41%和2.17%。较DLinear，Abilene高需求点平均低估误差降低16.07%，GÉANT的168 h均方误差和平均绝对误差降低23.16%和11.16%，辅助容量需求估计。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关键词：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网络流量预测；多变量时间序列；多尺度学习；自适应加权；分解线性模型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中图分类号：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TP393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文献标志码：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文章编号：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  <w:sectPr w:rsidR="00B503EC" w:rsidRPr="00D62458" w:rsidSect="002C04BD">
          <w:headerReference w:type="default" r:id="rId7"/>
          <w:pgSz w:w="11906" w:h="16838"/>
          <w:pgMar w:top="935" w:right="746" w:bottom="779" w:left="1080" w:header="851" w:footer="331" w:gutter="0"/>
          <w:cols w:space="720"/>
          <w:docGrid w:type="lines" w:linePitch="312"/>
        </w:sectPr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doi：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0　引言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骨干网的容量配置与资源管理需要估计未来的通信需求，而源—目的节点对（origin-destination，OD）的流量预测能够为需求分析提供数据依据。小时级OD流量既包含局部波动，也呈现较慢的趋势变化，而且不同历史窗口的波动幅度与近期变化状态有所不同。因此，预测模型需要提取不同时间尺度的信息，并结合当前窗口的统计特征融合各尺度预测，从而估计未来多个时刻的流量需求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围绕网络流量预测，已有研究从时间依赖、变量关联与周期结构等方面开展探索。Lohrasbinasab等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总结了统计方法和机器学习方法的研究进展；Qin等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[2]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利用图神经网络建模时空关联，韦烜等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[3]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讨论了大型网际协议（Internet Protocol，IP）网络流量矩阵的变量关系与时间变化，唐文杰等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[4]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则通过周期性整合组织流量信息。这些研究为流量序列的结构建模提供了不同思路。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在时间结构建模方面，Zhou等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[5]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通过深度回声状态网络开展多尺度流量预测。分解线性模型（decomposition linear model，DLinear）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将趋势项和余项分别映射至预测区间，TimeMixer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[7]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采用可分解多尺度混合；TimesNet公开基准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则将基于多层感知机（multilayer perceptron，MLP）的LightTS纳入比较。多尺度信息的提取还需与融合方式相配合。固定等权或全局权重在窗口间共享融合系数，因而不能根据当前窗口的变化状态调整尺度权重。本文关注如何在控制参数规模的同时，利用窗口信息调整尺度权重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据此，本文将三个独立DLinear专家与四维窗口统计特征驱动的尺度路由相结合，构建自适应多尺度加权预测模型。时间聚合形成多分辨率输入，各专家在OD变量间共享时间映射，使参数量不随变量数增加；路由网络仅含131个参数，根据窗口状态分配尺度权重。在Abilene和GÉANT上以96 h输入开展24 h预测、融合消融与高需求点分析，并在GÉANT上开展168 h预测，评价预测误差与参数规模。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1　自适应多尺度网络流量预测方法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所提方法由多尺度预测分支和尺度路由分支组成，图1以24 h预测任务为例展示整体流程。预测分支提取不同时间分辨率下的趋势与余项，路由分支则根据当前窗口的统计特征分配尺度权重。两条分支共同作用，输出未来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个小时的逐小时OD流量预测。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1" type="#_x0000_t202" style="width:391.1811pt;height:271.4245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3167691"/>
                        <wp:docPr id="101" name="图1" descr="Original schematic: all labels, example curves and connections preserved; typography only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1.png"/>
                                <ns0:cNvPicPr/>
                              </ns0:nvPicPr>
                              <ns0:blipFill>
                                <ns0:blip xmlns:ns0="http://schemas.openxmlformats.org/drawingml/2006/main" r:embed="rId19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3167691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图1 自适应多尺度网络流量预测框架</w:t>
                  </w:r>
                </w:p>
              </w:txbxContent>
            </v:textbox>
          </v:shape>
        </w:pic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1.1　数据表示与预处理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记预处理后的多变量流量向量为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xₜ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，包含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个OD变量。沿时间轴以1 h步长构造滑动窗口，第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个样本由长度为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的历史输入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和其后长度为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的目标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Yₙ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组成，其中行对应时间点，列对应OD变量：</w:t>
      </w:r>
    </w:p>
    <w:p w14:paraId="6F17DC21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(1)</w:t>
      </w:r>
    </w:p>
    <w:p w14:paraId="0164DA1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=24，一周任务取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=168。数据读取时，将缺失值和无穷值记为0，并将负值截为0。考虑到流量非负且变量量级不同，先进行自然对数变换，再按变量标准化：</w:t>
      </w:r>
    </w:p>
    <w:p w14:paraId="707F6E5C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u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log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v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(3)</w:t>
      </w:r>
    </w:p>
    <w:p w14:paraId="64DE62A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u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σ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为原始流量，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u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为对数变换后的流量；下标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分别表示时间与变量，上标tr表示训练集统计量，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分别为对应变量的均值和标准差。验证集与测试集沿用训练统计量。数据首先按时间顺序划分，再在各子集中独立生成滑动窗口，使输入与目标均位于对应时间段内。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1.2　多尺度构造与线性专家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为了在同一历史范围内兼顾局部变化与平滑趋势，设置尺度集合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={1,2,4}。对历史输入沿时间维进行非重叠平均池化，聚合长度与步长均为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，得到</w:t>
      </w:r>
    </w:p>
    <w:p w14:paraId="3080208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t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i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为聚合窗口内的时间索引。各尺度覆盖同一96 h历史，分别以1 h输入值、2 h均值和4 h均值构成96、48和24步序列。各尺度使用结构相同、参数独立的DLinear专家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，并统一输出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步预测。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在每个尺度上，采用长度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q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=25的中心移动平均提取趋势项，序列两端通过复制端点补齐。设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=12，补齐后的输入参与下式计算：</w:t>
      </w:r>
    </w:p>
    <w:p w14:paraId="414FF6C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q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=-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</m:acc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(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sup>
            </m:sSubSup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q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</m:t>
        </m:r>
        <m:r>
          <w:rPr>
            <w:rFonts w:ascii="Times New Roman" w:hAnsi="Times New Roman" w:cs="Times New Roman"/>
            <w:sz w:val="21"/>
            <w:szCs w:val="21"/>
          </w:rPr>
          <m:t>m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25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(6)</w:t>
      </w:r>
    </w:p>
    <w:p w14:paraId="33BA619F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(7)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式中，带波浪号的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表示端点补齐序列，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分别表示趋势项和余项。随后，两个线性层沿时间维分别完成映射，并将其输出相加，得到尺度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的预测：</w:t>
      </w:r>
    </w:p>
    <w:p w14:paraId="7AF0577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(8)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分别为线性层的权重和偏置，下标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表示对应分量。各权重矩阵的维度为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)，偏置为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维，并在OD变量之间共享。由此，各尺度输出均为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，可直接进行后续融合。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1.3　窗口统计特征与自适应加权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完成各尺度预测后，路由分支从原始时间分辨率的预处理窗口中提取均值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、标准差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、末时刻均值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ℓₙ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和平均绝对一阶差分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dₙ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，组成四维窗口整体统计特征向量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zₙ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。各统计量定义为</w:t>
      </w:r>
    </w:p>
    <w:p w14:paraId="31F9D3F4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μ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LC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b>
                </m:sSub>
              </m:e>
            </m:nary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σ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LC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0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(9)</w:t>
      </w:r>
    </w:p>
    <w:p w14:paraId="5845123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d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|</m:t>
                </m:r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(10)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均值反映标准化窗口相对训练期均值的整体偏移，标准差概括时间与变量两个维度的离散程度；末时刻均值表征窗口末端状态，平均绝对一阶差分反映相邻小时的变化幅度。由此，路由网络以四维输入汇总窗口状态，尺度分数计算为：</w:t>
      </w:r>
    </w:p>
    <w:p w14:paraId="528ACD1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a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ReLU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z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(11)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aₙ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为尺度分数向量，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分别为两层网络的权重矩阵和偏置。第一层将四维特征映射到16维隐藏层，经修正线性单元（rectified linear unit，ReLU）激活后，第二层输出三个尺度分数。两层权重矩阵分别为16×4和3×16，偏置分别为16维和3维。进一步采用归一化指数函数（Softmax），得到</w:t>
      </w:r>
    </w:p>
    <w:p w14:paraId="2D027ED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exp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∈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exp</m:t>
                </m:r>
              </m:e>
            </m:nary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≥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其中，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αₙ,ₛ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个窗口在尺度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上的融合权重，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j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为尺度集合中的求和索引。三个非负权重之和为1，并在当前窗口的全部OD变量和预测步之间共享。最终预测为</w:t>
      </w:r>
    </w:p>
    <w:p w14:paraId="4DBD2A18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(13)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1.4　模型训练与参数规模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尺度专家与路由网络联合训练，以均方误差（mean squared error，MSE）为损失函数，对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个训练样本、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个预测步和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个变量的平方误差取平均：</w:t>
      </w:r>
    </w:p>
    <w:p w14:paraId="73383E0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MSE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NHC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采用自适应矩估计（adaptive moment estimation，Adam）优化器更新参数，并依据验证集MSE选择模型。每个尺度包含两个线性层，参数量为2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+1)；路由网络参数量为4×16+16+16×3+3=131。因此，当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=24时，模型总参数量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P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</w:t>
      </w:r>
    </w:p>
    <w:p>
      <w:pPr>
        <w:pStyle w:val="JournalEquation"/>
        <w:widowControl/>
        <w:jc w:val="center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m:oMath>
        <m:r>
          <w:rPr>
            <w:rFonts w:ascii="Times New Roman" w:hAnsi="Times New Roman" w:cs="Times New Roman"/>
            <w:sz w:val="21"/>
            <w:szCs w:val="21"/>
          </w:rPr>
          <m:t>P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nary>
          <m:naryPr>
            <m:chr m:val="∑"/>
            <m:limLoc m:val="subSup"/>
            <m:supHide m:val="1"/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/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/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131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8339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1"/>
            <w:szCs w:val="21"/>
            <w:i w:val="0"/>
            <w:b w:val="0"/>
          </w:rPr>
          <m:t>.</m:t>
        </m:r>
      </m:oMath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同一尺度的线性映射在变量间共享，因此参数量不随OD变量数增加；24 h配置中，路由参数仅占总参数量的1.57%。当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=168时，模型含57587个参数，路由网络仍为131个参数。模型依次通过多尺度预测与自适应融合，输出标准化空间中的多步预测结果。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2　实验与结果分析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2.1　数据与实验设置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实验采用CESNET TS-Zoo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[9]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中1 h粒度的Abilene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[10]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与GÉANT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流量矩阵，两套数据分别含4656和2849个时间点。按时间顺序以6∶2∶2划分训练集、验证集和测试集，并独立训练和评价。对数变换后，仅保留训练集标准差大于10⁻⁸的变量，Abilene保留144个OD变量，GÉANT保留524个OD变量。两套数据均开展24 h预测，GÉANT另设168 h预测任务，数据划分与样本窗口数见表1。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表1 数据集规模与预测任务设置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191"/>
        <w:gridCol w:w="1134"/>
        <w:gridCol w:w="2778"/>
        <w:gridCol w:w="2665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有效变量数</w:t>
            </w:r>
          </w:p>
        </w:tc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预测时长/h</w:t>
            </w:r>
          </w:p>
        </w:tc>
        <w:tc>
          <w:tcPr>
            <w:tcW w:type="dxa" w:w="277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训练/验证/测试时间点</w:t>
            </w:r>
          </w:p>
        </w:tc>
        <w:tc>
          <w:tcPr>
            <w:tcW w:type="dxa" w:w="2665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训练/验证/测试窗口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</w:t>
            </w:r>
          </w:p>
        </w:tc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2793/931/932</w:t>
            </w:r>
          </w:p>
        </w:tc>
        <w:tc>
          <w:tcPr>
            <w:tcW w:type="dxa" w:w="2665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2674/812/813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1590/451/451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168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1446/307/307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基础实验中，各模型均以96 h历史预测未来24 h，批量大小为16。DLinear及多尺度模型的学习率为0.001，最多训练30轮，早停耐心值为6；LightTS采用TimesNet公开基准代码库的实现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，分块长度为24、模型维度为512，学习率为0.0001，最多训练50轮，早停耐心值为10。各模型均按验证集MSE选择检查点。软件环境为Python 3.11.9和PyTorch 2.5.1。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各模型均采用42～49八个共同随机种子重复训练。误差报告均值与样本标准差，误差线表示样本标准差；相对降幅按相同种子下的结果计算，再取平均。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采用MSE和平均绝对误差（mean absolute error，MAE）评价预测结果，两项指标均在对数变换与逐变量标准化后的空间计算。测试集MSE按式（14）计算，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取相应测试窗口数；MAE为</w:t>
      </w:r>
    </w:p>
    <w:p w14:paraId="1CAEA4A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MAE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  <m:r>
              <w:rPr>
                <w:rFonts w:ascii="Times New Roman" w:hAnsi="Times New Roman" w:cs="Times New Roman"/>
                <w:sz w:val="21"/>
                <w:szCs w:val="21"/>
              </w:rPr>
              <m:t>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|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Nₜₑ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为测试窗口数。MSE对较大偏差更敏感，MAE反映平均绝对偏差；两项指标越小，预测误差越低。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2.2　预测精度比较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选取单尺度DLinear和LightTS作为基线，在相同测试窗口上进行比较，结果见表2。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表2 基线模型的24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0.255±0.014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0.761±0.056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0.516±0.013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2中，本文方法在两套数据上的平均MSE和MAE均低于DLinear与LightTS。相对LightTS，Abilene和GÉANT的MSE平均降低25.77%和43.74%，MAE平均降低12.66%和29.09%。结合图2，本文参数量均为8339，相比LightTS的130162和384382分别减少93.59%和97.83%，兼顾预测精度与模型规模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2" type="#_x0000_t202" style="width:391.1811pt;height:176.8400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1966468"/>
                        <wp:docPr id="102" name="图2" descr="Same twelve paired reductions, three seeds per dataset/metric; sample SD. Deterministic parameter ratios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2.png"/>
                                <ns0:cNvPicPr/>
                              </ns0:nvPicPr>
                              <ns0:blipFill>
                                <ns0:blip xmlns:ns0="http://schemas.openxmlformats.org/drawingml/2006/main" r:embed="rId20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1966468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图2 相对LightTS的预测误差降低率与参数比例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a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)、(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)的柱高为八个共同种子的平均相对降幅，误差线为样本标准差；图2(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)以对应LightTS配置的参数量为100%，给出本文模型的参数比例。该结果表明，在所设24 h任务中，多尺度线性预测与低维窗口融合能够兼顾参数规模和预测误差。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2.3　融合方式消融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保持三个独立DLinear专家与尺度集合不变，比较融合方式。固定等权模型将权重设为1/3；全局可学习权重模型（图中简称“全局权重”）以三个可训练分数生成所有窗口共用的权重；恒定输入路由模型（图中简称“恒定路由”）保留两层路由网络，并输入全零特征。各对照均以真实历史序列驱动尺度专家，结果见表3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表3 融合方式的24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0.190±0.006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0.447±0.014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0.446±0.014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0.449±0.012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0.379±0.007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3中，本文方法在两套数据上的平均MSE和MAE均最优。相对DLinear，MSE平均降低2.77%和2.35%；相对全局权重，分别降低1.80%和4.31%。Abilene的MAE较上述对照分别降低8.01%和8.91%。GÉANT上，仅本文方法的平均MSE低于DLinear，表明本组实验中融合方式对多尺度预测效果具有重要作用。恒定输入路由保留相同结构与参数量，误差仍较高，进一步支持采用窗口统计量的设计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2.4　高需求预测表现</w:t>
      </w:r>
    </w:p>
    <w:p xmlns:w="http://schemas.openxmlformats.org/wordprocessingml/2006/main"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以标准化训练集各OD变量的第90百分位为阈值</w:t>
      </w:r>
      <ns0:oMath xmlns:ns0="http://schemas.openxmlformats.org/officeDocument/2006/math">
        <ns0:sSub>
          <ns0:sSubPr>
            <ns0:ctrlPr>
              <w:rPr>
                <w:rFonts w:ascii="Cambria Math" w:hAnsi="Cambria Math"/>
              </w:rPr>
            </ns0:ctrlPr>
          </ns0:sSubPr>
          <ns0:e>
            <ns0:r>
              <ns0:rPr>
                <ns0:sty ns0:val="i"/>
              </ns0:rPr>
              <w:rPr>
                <w:rFonts w:ascii="Times New Roman" w:hAnsi="Times New Roman" w:cs="Times New Roman"/>
                <w:sz w:val="21"/>
                <w:szCs w:val="21"/>
              </w:rPr>
              <ns0:t>τ</ns0:t>
            </ns0:r>
          </ns0:e>
          <ns0:sub>
            <ns0:r>
              <ns0:rPr>
                <ns0:sty ns0:val="i"/>
              </ns0:rPr>
              <w:rPr>
                <w:rFonts w:ascii="Times New Roman" w:hAnsi="Times New Roman" w:cs="Times New Roman"/>
                <w:sz w:val="21"/>
                <w:szCs w:val="21"/>
              </w:rPr>
              <ns0:t>c</ns0:t>
            </ns0:r>
          </ns0:sub>
        </ns0:sSub>
      </ns0:oMath>
      <w:r>
        <w:rPr>
          <w:rFonts w:ascii="Times New Roman" w:hAnsi="Times New Roman" w:eastAsia="宋体" w:cs="Times New Roman"/>
          <w:color w:val="000000"/>
          <w:sz w:val="21"/>
          <w:szCs w:val="21"/>
        </w:rPr>
        <w:t>，记测试集高需求目标点集合为</w:t>
      </w:r>
      <ns0:oMath xmlns:ns0="http://schemas.openxmlformats.org/officeDocument/2006/math">
        <ns0:r>
          <ns0:rPr>
            <ns0:sty ns0:val="i"/>
          </ns0:rPr>
          <w:rPr>
            <w:rFonts w:ascii="Times New Roman" w:hAnsi="Times New Roman" w:cs="Times New Roman"/>
            <w:sz w:val="21"/>
            <w:szCs w:val="21"/>
          </w:rPr>
          <ns0:t>Ω</ns0:t>
        </ns0:r>
        <ns0:r>
          <ns0:rPr>
            <ns0:sty ns0:val="p"/>
          </ns0:rPr>
          <w:rPr>
            <w:rFonts w:ascii="Times New Roman" w:hAnsi="Times New Roman" w:cs="Times New Roman"/>
            <w:sz w:val="21"/>
            <w:szCs w:val="21"/>
          </w:rPr>
          <ns0:t>=</ns0:t>
        </ns0:r>
        <ns0:d>
          <ns0:dPr>
            <ns0:begChr ns0:val="{"/>
            <ns0:endChr ns0:val="}"/>
            <ns0:grow ns0:val="1"/>
            <ns0:ctrlPr>
              <w:rPr>
                <w:rFonts w:ascii="Cambria Math" w:hAnsi="Cambria Math"/>
              </w:rPr>
            </ns0:ctrlPr>
          </ns0:dPr>
          <ns0:e>
            <ns0:d>
              <ns0:dPr>
                <ns0:begChr ns0:val="("/>
                <ns0:endChr ns0:val=")"/>
                <ns0:grow ns0:val="1"/>
                <ns0:ctrlPr>
                  <w:rPr>
                    <w:rFonts w:ascii="Cambria Math" w:hAnsi="Cambria Math"/>
                  </w:rPr>
                </ns0:ctrlPr>
              </ns0:dPr>
              <ns0:e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n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,</ns0:t>
                </ns0:r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h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,</ns0:t>
                </ns0:r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e>
            </ns0:d>
            <ns0:r>
              <ns0:rPr>
                <ns0:sty ns0:val="p"/>
              </ns0:rPr>
              <w:rPr>
                <w:rFonts w:ascii="Times New Roman" w:hAnsi="Times New Roman" w:cs="Times New Roman"/>
                <w:sz w:val="21"/>
                <w:szCs w:val="21"/>
              </w:rPr>
              <ns0:t>|</ns0:t>
            </ns0:r>
            <ns0:sSub>
              <ns0:sSubPr>
                <ns0:ctrlPr>
                  <w:rPr>
                    <w:rFonts w:ascii="Cambria Math" w:hAnsi="Cambria Math"/>
                  </w:rPr>
                </ns0:ctrlPr>
              </ns0:sSubPr>
              <ns0:e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Y</ns0:t>
                </ns0:r>
              </ns0:e>
              <ns0:sub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n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ns0:t>,</ns0:t>
                </ns0:r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h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ns0:t>,</ns0:t>
                </ns0:r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sub>
            </ns0:sSub>
            <ns0:r>
              <ns0:rPr>
                <ns0:sty ns0:val="p"/>
              </ns0:rPr>
              <w:rPr>
                <w:rFonts w:ascii="Times New Roman" w:hAnsi="Times New Roman" w:cs="Times New Roman"/>
                <w:sz w:val="21"/>
                <w:szCs w:val="21"/>
              </w:rPr>
              <ns0:t>&gt;</ns0:t>
            </ns0:r>
            <ns0:sSub>
              <ns0:sSubPr>
                <ns0:ctrlPr>
                  <w:rPr>
                    <w:rFonts w:ascii="Cambria Math" w:hAnsi="Cambria Math"/>
                  </w:rPr>
                </ns0:ctrlPr>
              </ns0:sSubPr>
              <ns0:e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τ</ns0:t>
                </ns0:r>
              </ns0:e>
              <ns0:sub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sub>
            </ns0:sSub>
          </ns0:e>
        </ns0:d>
      </ns0:oMath>
      <w:r>
        <w:rPr>
          <w:rFonts w:ascii="Times New Roman" w:hAnsi="Times New Roman" w:eastAsia="宋体" w:cs="Times New Roman"/>
          <w:color w:val="000000"/>
          <w:sz w:val="21"/>
          <w:szCs w:val="21"/>
        </w:rPr>
        <w:t>，在该集合上计算MAE与平均低估误差（average underestimation error，AUE）：</w:t>
      </w:r>
    </w:p>
    <w:p xmlns:w="http://schemas.openxmlformats.org/wordprocessingml/2006/main" xmlns:w14="http://schemas.microsoft.com/office/word/2010/wordml" xmlns:m="http://schemas.openxmlformats.org/officeDocument/2006/math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AUE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1</m:t>
            </m:r>
          </m:num>
          <m:den>
            <m:d>
              <m:dPr>
                <m:begChr m:val="|"/>
                <m:endChr m:val="|"/>
                <m:grow m:val="1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Ω</m:t>
                </m:r>
              </m:e>
            </m:d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d>
              <m:dPr>
                <m:begChr m:val="("/>
                <m:endChr m:val=")"/>
                <m:grow m:val="1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,</m:t>
                </m:r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,</m:t>
                </m:r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e>
            </m:d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Times New Roman" w:hAnsi="Times New Roman" w:cs="Times New Roman"/>
                <w:sz w:val="21"/>
                <w:szCs w:val="21"/>
              </w:rPr>
              <m:t>Ω</m:t>
            </m:r>
          </m:sub>
          <m:sup/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max</m:t>
                </m:r>
              </m:fName>
              <m:e>
                <m:d>
                  <m:dPr>
                    <m:begChr m:val="("/>
                    <m:endChr m:val=")"/>
                    <m:grow m:val="1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c</m:t>
                        </m:r>
                      </m:sub>
                    </m:sSub>
                  </m:e>
                </m:d>
              </m:e>
            </m:func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(16)</w:t>
      </w:r>
    </w:p>
    <w:p xmlns:w="http://schemas.openxmlformats.org/wordprocessingml/2006/main"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式中，分母为高需求目标点总数。AUE将非低估情况计为0，对全部高需求点取平均，结果见图3。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3" type="#_x0000_t202" style="width:391.1811pt;height:212.8493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423786"/>
                        <wp:docPr id="103" name="图3" descr="All eighty high-demand dataset/model/seed rows. Same means and sample SD; only fonts, tick direction and grid styling 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3.png"/>
                                <ns0:cNvPicPr/>
                              </ns0:nvPicPr>
                              <ns0:blipFill>
                                <ns0:blip xmlns:ns0="http://schemas.openxmlformats.org/drawingml/2006/main" r:embed="rId21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423786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图3 高需求预测点的MAE与平均低估误差（8次重复）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3中，本文方法在Abilene上的MAE与AUE为0.147和0.137，在GÉANT上为0.632和0.577，均值均低于所列对照。Abilene上，相对DLinear两项指标平均降低13.96%和16.07%，相对固定等权降低17.47%和20.84%。MAE衡量双向偏差，AUE侧重需求低估，两者表明高需求点估计得到改善，可为容量需求分析提供参考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2.5　一周预测表现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一周预测取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=168，保持96 h输入及原有数据划分与预处理。表4所列五种模型均沿用2.1节的训练设置，按168 h输出独立训练，并在GÉANT的全部307个测试窗口上评价。</w:t>
      </w:r>
    </w:p>
    <w:p xmlns:w="http://schemas.openxmlformats.org/wordprocessingml/2006/main"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表4 GÉANT一周预测的绝对误差（8次重复）</w:t>
      </w:r>
    </w:p>
    <w:tbl xmlns:w="http://schemas.openxmlformats.org/wordprocessingml/2006/main"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608"/>
        <w:gridCol w:w="2608"/>
      </w:tblGrid>
      <w:tr>
        <w:trPr>
          <w:cantSplit/>
          <w:tblHeader/>
        </w:trPr>
        <w:tc>
          <w:tcPr>
            <w:tcW w:type="dxa" w:w="362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1.100±0.091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0.604±0.021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1.149±0.107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0.614±0.027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1.148±0.108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0.613±0.027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1.102±0.028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0.604±0.010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0.841±0.088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0.536±0.028</w:t>
            </w:r>
          </w:p>
        </w:tc>
      </w:tr>
    </w:tbl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4" type="#_x0000_t202" style="width:391.1811pt;height:194.8446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195127"/>
                        <wp:docPr id="104" name="图4" descr="Same forty GÉANT H168 model/seed rows; all five models and eight seeds; mean and sample SD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4.png"/>
                                <ns0:cNvPicPr/>
                              </ns0:nvPicPr>
                              <ns0:blipFill>
                                <ns0:blip xmlns:ns0="http://schemas.openxmlformats.org/drawingml/2006/main" r:embed="rId22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195127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图4 GÉANT一周预测中本文方法相对各对照的误差降幅（8次重复）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表4中，本文方法的平均MSE和MAE均最优，较DLinear降低23.16%和11.16%，较其余融合对照降低23.77%～26.11%和11.19%～12.39%。GÉANT的24 h与168 h任务各自在完整测试窗口上评价，相对DLinear的MSE平均降幅为2.35%和23.16%。168 h模型含57587个参数，路由网络仍为131个，仅占0.23%。图4的小圆点为配对降幅，菱形与横线为均值及样本标准差；全部64个比较（4种对照×2项指标×8个种子）的降幅均为正值。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3　结语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本文面向小时级骨干网流量预测，构建了由三个独立DLinear专家和低维路由网络组成的自适应多尺度模型。通过时间聚合形成不同分辨率的输入，再以四维窗口统计量计算尺度权重，实现多尺度候选预测的融合。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24 h任务的基线比较和融合消融表明，本文方法在Abilene和GÉANT上均取得了较低的平均预测误差。相对LightTS，MSE的平均相对降幅分别为25.77%和43.74%，参数量分别为对应LightTS配置的6.41%和2.17%。在GÉANT的一周任务中，MSE与MAE相对DLinear的平均相对降幅分别为23.16%和11.16%。结合高需求点的预测结果，这些实验为利用低维窗口信息融合多尺度预测提供了依据，可为小时级OD流量需求分析提供方法参考。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ReferenceHeading"/>
        <w:widowControl/>
        <w:jc w:val="left"/>
        <w:spacing w:before="0" w:after="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参考文献：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[1] LOHRASBINASAB I, SHAHRAKI A, TAHERKORDI A, et al. From statistical- to machine learning-based network traffic prediction[J]. Transactions on Emerging Telecommunications Technologies, 2022, 33(4): e4394. DOI: 10.1002/ett.4394.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[2] QIN Liang, GU Huaxi, WEI Wenting, et al. Spatio-temporal communication network traffic prediction method based on graph neural network[J]. Information Sciences, 2024, 679: 121003. DOI: 10.1016/j.ins.2024.121003.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[3] 韦烜, 刘志华, 李青, 等. 大型IP网络流量矩阵分析预测的探讨研究[J]. 系统工程与电子技术, 2024, 46(6): 2164-2173. DOI: 10.12305/j.issn.1001-506X.2024.06.35.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[4] 唐文杰, 肖一磊, 孔祥宇, 等. CycleLLH：一种基于周期性整合的新型网络流量预测模型[J]. 计算机学报, 2024, 47(12): 2867-2888. DOI: 10.11897/SP.J.1016.2024.02867.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[5] ZHOU Jian, HAN Taotao, XIAO Fu, et al. Multiscale network traffic prediction method based on deep echo-state network for Internet of Things[J]. IEEE Internet of Things Journal, 2022, 9(21): 21862-21874. DOI: 10.1109/JIOT.2022.3181807.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[6] ZENG Ailing, CHEN Muxi, ZHANG Lei, et al. Are transformers effective for time series forecasting?[J]. Proceedings of the AAAI Conference on Artificial Intelligence, 2023, 37(9): 11121-11128. DOI: 10.1609/aaai.v37i9.26317.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[7] WANG Shiyu, WU Haixu, SHI Xiaoming, et al. TimeMixer: decomposable multiscale mixing for time series forecasting[C/OL]//The Twelfth International Conference on Learning Representations. 2024[2026-10-21]. https://openreview.net/forum?id=7oLshfEIC2.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[8] WU Haixu, HU Tengge, LIU Yong, et al. TimesNet: temporal 2D-variation modeling for general time series analysis[C/OL]//The Eleventh International Conference on Learning Representations. 2023[2026-10-21]. https://openreview.net/forum?id=ju_Uqw384Oq.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[9] KUREŠ M, KOUMAR J, HYNEK K. CESNET TS-Zoo: a library for reproducible analysis of network traffic time series[C]//2025 21st International Conference on Network and Service Management. New York: IEEE, 2025: 1-5. DOI: 10.23919/CNSM67658.2025.11297513.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[10] ZHANG Yin, ROUGHAN M, DUFFIELD N, et al. Fast accurate computation of large-scale IP traffic matrices from link loads[J]. ACM SIGMETRICS Performance Evaluation Review, 2003, 31(1): 206-217. DOI: 10.1145/885651.781053.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[11] UHLIG S, QUOITIN B, LEPROPRE J, et al. Providing public intradomain traffic matrices to the research community[J]. ACM SIGCOMM Computer Communication Review, 2006, 36(1): 83-86. DOI: 10.1145/1111322.1111341.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  <w:sectPr w:rsidR="00B503EC" w:rsidSect="00C96848">
          <w:footerReference w:type="default" r:id="rId16"/>
          <w:type w:val="continuous"/>
          <w:pgSz w:w="11906" w:h="16838"/>
          <w:pgMar w:top="935" w:right="746" w:bottom="779" w:left="1080" w:header="851" w:footer="331" w:gutter="0"/>
          <w:cols w:space="425"/>
          <w:titlePg/>
          <w:docGrid w:type="lines" w:linePitch="312"/>
        </w:sectPr>
      </w:pPr>
    </w:p>
    <w:p>
      <w:pPr>
        <w:pStyle w:val="Title"/>
        <w:widowControl/>
        <w:jc w:val="center"/>
        <w:spacing w:before="36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Multivariate network traffic forecasting with adaptive multiscale weighting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KE Yawen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(School of Information Engineering, Anhui Finance &amp; Trade Vocational College, Hefei Anhui 231200, China)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Abstract: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An adaptive multiscale weighting method forecasts hourly traffic by combining three decomposition linear models (DLinear) according to window statistics. Across eight training runs, mean relative reductions in 24-hour mean squared error versus LightTS are 25.77% on Abilene and 43.74% on GÉANT. Parameter counts are 6.41% and 2.17% of the respective LightTS configurations. Relative to DLinear, the mean shortfall at high-demand Abilene points decreases by 16.07%. For 168-hour GÉANT forecasting against DLinear, mean squared error and mean absolute error decrease by 23.16% and 11.16%, respectively. These results support capacity demand estimation using hourly traffic forecasts.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Key words: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network traffic forecasting; multivariate time series; multiscale learning; adaptive weighting; decomposition linear model</w:t>
      </w:r>
    </w:p>
    <w:sectPr w:rsidR="002C04BD" w:rsidRPr="007D4868" w:rsidSect="00C96848">
      <w:type w:val="continuous"/>
      <w:pgSz w:w="11906" w:h="16838"/>
      <w:pgMar w:top="935" w:right="746" w:bottom="779" w:left="1080" w:header="851" w:footer="33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D4024" w14:textId="77777777" w:rsidR="009C24A7" w:rsidRDefault="009C24A7">
      <w:r>
        <w:separator/>
      </w:r>
    </w:p>
  </w:endnote>
  <w:endnote w:type="continuationSeparator" w:id="0">
    <w:p w14:paraId="6CC3D12B" w14:textId="77777777" w:rsidR="009C24A7" w:rsidRDefault="009C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MR10">
    <w:altName w:val="方正舒体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EF451" w14:textId="77777777" w:rsidR="0066045D" w:rsidRPr="0066045D" w:rsidRDefault="0066045D" w:rsidP="006604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A998" w14:textId="77777777" w:rsidR="009C24A7" w:rsidRDefault="009C24A7">
      <w:r>
        <w:separator/>
      </w:r>
    </w:p>
  </w:footnote>
  <w:footnote w:type="continuationSeparator" w:id="0">
    <w:p w14:paraId="0A92B76C" w14:textId="77777777" w:rsidR="009C24A7" w:rsidRDefault="009C2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0FB89" w14:textId="77777777" w:rsidR="00F5270A" w:rsidRDefault="00812301" w:rsidP="00D62458">
    <w:r w:rsidRPr="00812301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10F69"/>
    <w:multiLevelType w:val="multilevel"/>
    <w:tmpl w:val="2B12D50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9"/>
        </w:tabs>
        <w:ind w:left="8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58"/>
        </w:tabs>
        <w:ind w:left="16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7"/>
        </w:tabs>
        <w:ind w:left="21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96"/>
        </w:tabs>
        <w:ind w:left="25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25"/>
        </w:tabs>
        <w:ind w:left="3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94"/>
        </w:tabs>
        <w:ind w:left="389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23"/>
        </w:tabs>
        <w:ind w:left="47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92"/>
        </w:tabs>
        <w:ind w:left="5192" w:hanging="1440"/>
      </w:pPr>
      <w:rPr>
        <w:rFonts w:hint="default"/>
      </w:rPr>
    </w:lvl>
  </w:abstractNum>
  <w:num w:numId="1" w16cid:durableId="51373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468"/>
    <w:rsid w:val="00001693"/>
    <w:rsid w:val="00037586"/>
    <w:rsid w:val="000640AC"/>
    <w:rsid w:val="000676DB"/>
    <w:rsid w:val="000A691D"/>
    <w:rsid w:val="000A6F1A"/>
    <w:rsid w:val="000D16F8"/>
    <w:rsid w:val="000F6E2A"/>
    <w:rsid w:val="00110C87"/>
    <w:rsid w:val="001163ED"/>
    <w:rsid w:val="00122153"/>
    <w:rsid w:val="00135EAF"/>
    <w:rsid w:val="00142831"/>
    <w:rsid w:val="00171B66"/>
    <w:rsid w:val="001733CB"/>
    <w:rsid w:val="001800BB"/>
    <w:rsid w:val="001D3D52"/>
    <w:rsid w:val="002029BE"/>
    <w:rsid w:val="00214994"/>
    <w:rsid w:val="00235F1E"/>
    <w:rsid w:val="002634C8"/>
    <w:rsid w:val="00272E5F"/>
    <w:rsid w:val="0029334D"/>
    <w:rsid w:val="002C04BD"/>
    <w:rsid w:val="002D6A7E"/>
    <w:rsid w:val="00393010"/>
    <w:rsid w:val="003D430A"/>
    <w:rsid w:val="003F1C72"/>
    <w:rsid w:val="00403487"/>
    <w:rsid w:val="004169BF"/>
    <w:rsid w:val="00436DE0"/>
    <w:rsid w:val="00452418"/>
    <w:rsid w:val="00461317"/>
    <w:rsid w:val="004730D2"/>
    <w:rsid w:val="004B1E5C"/>
    <w:rsid w:val="004F365E"/>
    <w:rsid w:val="005526AF"/>
    <w:rsid w:val="0057648E"/>
    <w:rsid w:val="00584D30"/>
    <w:rsid w:val="0059071E"/>
    <w:rsid w:val="005C7BDA"/>
    <w:rsid w:val="00602079"/>
    <w:rsid w:val="0060584B"/>
    <w:rsid w:val="006302EC"/>
    <w:rsid w:val="00647468"/>
    <w:rsid w:val="0066045D"/>
    <w:rsid w:val="00663D8B"/>
    <w:rsid w:val="00671A80"/>
    <w:rsid w:val="00676B1F"/>
    <w:rsid w:val="0069674D"/>
    <w:rsid w:val="006C4FB9"/>
    <w:rsid w:val="006F11D1"/>
    <w:rsid w:val="00737A1F"/>
    <w:rsid w:val="007506F2"/>
    <w:rsid w:val="00754CF8"/>
    <w:rsid w:val="0079508B"/>
    <w:rsid w:val="007A31D0"/>
    <w:rsid w:val="007D1F70"/>
    <w:rsid w:val="007D4868"/>
    <w:rsid w:val="007F076F"/>
    <w:rsid w:val="00812301"/>
    <w:rsid w:val="00841FF2"/>
    <w:rsid w:val="008518DA"/>
    <w:rsid w:val="00872111"/>
    <w:rsid w:val="00875018"/>
    <w:rsid w:val="008A6131"/>
    <w:rsid w:val="008B7171"/>
    <w:rsid w:val="008E7DCB"/>
    <w:rsid w:val="008F5542"/>
    <w:rsid w:val="009212C7"/>
    <w:rsid w:val="009233D7"/>
    <w:rsid w:val="009A0CF8"/>
    <w:rsid w:val="009B5166"/>
    <w:rsid w:val="009C24A7"/>
    <w:rsid w:val="009D5E4C"/>
    <w:rsid w:val="009E6EDB"/>
    <w:rsid w:val="009F4790"/>
    <w:rsid w:val="00A13323"/>
    <w:rsid w:val="00A157F6"/>
    <w:rsid w:val="00A247E8"/>
    <w:rsid w:val="00A37E03"/>
    <w:rsid w:val="00A70C5D"/>
    <w:rsid w:val="00A82726"/>
    <w:rsid w:val="00A83477"/>
    <w:rsid w:val="00A93A55"/>
    <w:rsid w:val="00AB5E67"/>
    <w:rsid w:val="00AD4061"/>
    <w:rsid w:val="00B009B8"/>
    <w:rsid w:val="00B503EC"/>
    <w:rsid w:val="00B959C6"/>
    <w:rsid w:val="00BA14F9"/>
    <w:rsid w:val="00BD23E5"/>
    <w:rsid w:val="00BF46A0"/>
    <w:rsid w:val="00BF6718"/>
    <w:rsid w:val="00BF7A06"/>
    <w:rsid w:val="00C044A7"/>
    <w:rsid w:val="00C42E18"/>
    <w:rsid w:val="00C620BA"/>
    <w:rsid w:val="00C77BAE"/>
    <w:rsid w:val="00C96848"/>
    <w:rsid w:val="00CD1B87"/>
    <w:rsid w:val="00D2777A"/>
    <w:rsid w:val="00D30A5E"/>
    <w:rsid w:val="00D36748"/>
    <w:rsid w:val="00D413CD"/>
    <w:rsid w:val="00D46886"/>
    <w:rsid w:val="00D502E3"/>
    <w:rsid w:val="00D56244"/>
    <w:rsid w:val="00D60F58"/>
    <w:rsid w:val="00D62458"/>
    <w:rsid w:val="00D918B7"/>
    <w:rsid w:val="00D9349A"/>
    <w:rsid w:val="00DD2EC2"/>
    <w:rsid w:val="00E00276"/>
    <w:rsid w:val="00E0117E"/>
    <w:rsid w:val="00E103EE"/>
    <w:rsid w:val="00E144A9"/>
    <w:rsid w:val="00E618C1"/>
    <w:rsid w:val="00E85501"/>
    <w:rsid w:val="00EE72BE"/>
    <w:rsid w:val="00EE7351"/>
    <w:rsid w:val="00EF7B58"/>
    <w:rsid w:val="00F05DC0"/>
    <w:rsid w:val="00F07F0C"/>
    <w:rsid w:val="00F163BB"/>
    <w:rsid w:val="00F265EE"/>
    <w:rsid w:val="00F30606"/>
    <w:rsid w:val="00F335A3"/>
    <w:rsid w:val="00F5270A"/>
    <w:rsid w:val="00F752A9"/>
    <w:rsid w:val="00F91DC5"/>
    <w:rsid w:val="00F922F8"/>
    <w:rsid w:val="00FB6265"/>
    <w:rsid w:val="00FC41A1"/>
    <w:rsid w:val="00FF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2058"/>
    <o:shapelayout v:ext="edit">
      <o:idmap v:ext="edit" data="2"/>
    </o:shapelayout>
  </w:shapeDefaults>
  <w:decimalSymbol w:val="."/>
  <w:listSeparator w:val=","/>
  <w14:docId w14:val="48B729DC"/>
  <w15:chartTrackingRefBased/>
  <w15:docId w15:val="{45DC4439-A8C3-47DF-B65D-661AFFB5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918B7"/>
    <w:pPr>
      <w:keepNext/>
      <w:ind w:firstLineChars="100" w:firstLine="241"/>
      <w:outlineLvl w:val="0"/>
    </w:pPr>
    <w:rPr>
      <w:b/>
      <w:bCs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D502E3"/>
    <w:rPr>
      <w:rFonts w:ascii="宋体" w:hAnsi="Courier New" w:cs="Courier New"/>
      <w:szCs w:val="21"/>
    </w:rPr>
  </w:style>
  <w:style w:type="paragraph" w:styleId="a4">
    <w:name w:val="endnote text"/>
    <w:basedOn w:val="a"/>
    <w:semiHidden/>
    <w:rsid w:val="00D918B7"/>
    <w:pPr>
      <w:snapToGrid w:val="0"/>
      <w:jc w:val="left"/>
    </w:pPr>
  </w:style>
  <w:style w:type="paragraph" w:styleId="a5">
    <w:name w:val="footnote text"/>
    <w:basedOn w:val="a"/>
    <w:semiHidden/>
    <w:rsid w:val="00A82726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A82726"/>
    <w:rPr>
      <w:vertAlign w:val="superscript"/>
    </w:rPr>
  </w:style>
  <w:style w:type="paragraph" w:styleId="a7">
    <w:name w:val="header"/>
    <w:basedOn w:val="a"/>
    <w:link w:val="Char"/>
    <w:uiPriority w:val="99"/>
    <w:rsid w:val="00D367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36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D36748"/>
  </w:style>
  <w:style w:type="character" w:customStyle="1" w:styleId="simjour">
    <w:name w:val="simjour"/>
    <w:basedOn w:val="a0"/>
    <w:rsid w:val="002C04BD"/>
  </w:style>
  <w:style w:type="character" w:customStyle="1" w:styleId="longtext1">
    <w:name w:val="long_text1"/>
    <w:basedOn w:val="a0"/>
    <w:rsid w:val="002C04BD"/>
    <w:rPr>
      <w:sz w:val="20"/>
      <w:szCs w:val="20"/>
    </w:rPr>
  </w:style>
  <w:style w:type="paragraph" w:customStyle="1" w:styleId="CharCharCharCharCharCharCharCharCharCharCharCharCharCharCharChar">
    <w:name w:val=" Char Char Char Char Char Char Char Char Char Char Char Char Char Char Char Char"/>
    <w:basedOn w:val="a"/>
    <w:autoRedefine/>
    <w:rsid w:val="002C04BD"/>
    <w:pPr>
      <w:tabs>
        <w:tab w:val="num" w:pos="360"/>
      </w:tabs>
    </w:pPr>
    <w:rPr>
      <w:sz w:val="24"/>
    </w:rPr>
  </w:style>
  <w:style w:type="character" w:customStyle="1" w:styleId="Char">
    <w:name w:val="页眉 Char"/>
    <w:basedOn w:val="a0"/>
    <w:link w:val="a7"/>
    <w:uiPriority w:val="99"/>
    <w:rsid w:val="00F5270A"/>
    <w:rPr>
      <w:kern w:val="2"/>
      <w:sz w:val="18"/>
      <w:szCs w:val="18"/>
    </w:rPr>
  </w:style>
  <w:style w:type="paragraph" w:styleId="aa">
    <w:name w:val="Balloon Text"/>
    <w:basedOn w:val="a"/>
    <w:link w:val="Char0"/>
    <w:rsid w:val="00F5270A"/>
    <w:rPr>
      <w:sz w:val="18"/>
      <w:szCs w:val="18"/>
    </w:rPr>
  </w:style>
  <w:style w:type="character" w:customStyle="1" w:styleId="Char0">
    <w:name w:val="批注框文本 Char"/>
    <w:basedOn w:val="a0"/>
    <w:link w:val="aa"/>
    <w:rsid w:val="00F5270A"/>
    <w:rPr>
      <w:kern w:val="2"/>
      <w:sz w:val="18"/>
      <w:szCs w:val="18"/>
    </w:rPr>
  </w:style>
  <w:style w:type="character" w:styleId="ab">
    <w:name w:val="Hyperlink"/>
    <w:basedOn w:val="a0"/>
    <w:rsid w:val="00D62458"/>
    <w:rPr>
      <w:color w:val="0000FF"/>
      <w:u w:val="single"/>
    </w:rPr>
  </w:style>
  <w:style w:type="paragraph" w:styleId="Title">
    <w:name w:val="Title"/>
    <w:basedOn w:val="Normal"/>
    <w:next w:val="JournalBody"/>
    <w:pPr>
      <w:widowControl/>
      <w:jc w:val="center"/>
      <w:spacing w:before="0" w:after="1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8"/>
      <w:szCs w:val="28"/>
    </w:rPr>
  </w:style>
  <w:style w:type="paragraph" w:styleId="JournalAuthor">
    <w:name w:val="JournalAuthor"/>
    <w:basedOn w:val="Normal"/>
    <w:next w:val="JournalBody"/>
    <w:pPr>
      <w:widowControl/>
      <w:jc w:val="center"/>
      <w:spacing w:before="0" w:after="8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ffiliation">
    <w:name w:val="JournalAffiliation"/>
    <w:basedOn w:val="Normal"/>
    <w:next w:val="JournalBody"/>
    <w:pPr>
      <w:widowControl/>
      <w:jc w:val="center"/>
      <w:spacing w:before="0" w:after="12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Metadata">
    <w:name w:val="JournalMetadata"/>
    <w:basedOn w:val="Normal"/>
    <w:next w:val="JournalBody"/>
    <w:pPr>
      <w:widowControl/>
      <w:jc w:val="left"/>
      <w:spacing w:before="0" w:after="4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bstract">
    <w:name w:val="JournalAbstract"/>
    <w:basedOn w:val="Normal"/>
    <w:next w:val="JournalBody"/>
    <w:pPr>
      <w:widowControl/>
      <w:jc w:val="both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Body">
    <w:name w:val="JournalBody"/>
    <w:basedOn w:val="Normal"/>
    <w:next w:val="JournalBody"/>
    <w:pPr>
      <w:widowControl/>
      <w:jc w:val="both"/>
      <w:spacing w:before="0" w:after="0" w:line="360" w:lineRule="exact"/>
      <w:ind w:left="0" w:right="0" w:firstLine="42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Heading1">
    <w:name w:val="JournalHeading1"/>
    <w:basedOn w:val="Normal"/>
    <w:next w:val="JournalBody"/>
    <w:pPr>
      <w:widowControl/>
      <w:jc w:val="left"/>
      <w:spacing w:before="100" w:after="100" w:line="360" w:lineRule="exact"/>
      <w:ind w:left="0" w:right="0" w:firstLine="0"/>
      <w:snapToGrid w:val="0"/>
      <w:keepNext/>
      <w:keepLines/>
      <w:outlineLvl w:val="0"/>
    </w:pPr>
    <w:rPr>
      <w:rFonts w:ascii="Times New Roman" w:hAnsi="Times New Roman" w:eastAsia="宋体" w:cs="Times New Roman"/>
      <w:b/>
      <w:color w:val="000000"/>
      <w:sz w:val="24"/>
      <w:szCs w:val="24"/>
    </w:rPr>
  </w:style>
  <w:style w:type="paragraph" w:styleId="JournalHeading2">
    <w:name w:val="JournalHeading2"/>
    <w:basedOn w:val="Normal"/>
    <w:next w:val="JournalBody"/>
    <w:pPr>
      <w:widowControl/>
      <w:jc w:val="left"/>
      <w:spacing w:before="60" w:after="60" w:line="360" w:lineRule="exact"/>
      <w:ind w:left="0" w:right="0" w:firstLine="0"/>
      <w:snapToGrid w:val="0"/>
      <w:keepNext/>
      <w:keepLines/>
      <w:outlineLvl w:val="1"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Caption">
    <w:name w:val="JournalCaption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b/>
      <w:color w:val="000000"/>
      <w:sz w:val="18"/>
      <w:szCs w:val="18"/>
    </w:rPr>
  </w:style>
  <w:style w:type="paragraph" w:styleId="JournalReference">
    <w:name w:val="JournalReference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ReferenceHeading">
    <w:name w:val="JournalReferenceHeading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Equation">
    <w:name w:val="JournalEquation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Figure">
    <w:name w:val="JournalFigure"/>
    <w:basedOn w:val="Normal"/>
    <w:next w:val="JournalBody"/>
    <w:pPr>
      <w:widowControl/>
      <w:jc w:val="center"/>
      <w:spacing w:before="0" w:after="10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Table">
    <w:name w:val="JournalTable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15"/>
      <w:szCs w:val="15"/>
    </w:rPr>
  </w:style>
  <w:style w:type="paragraph" w:styleId="JournalBlank">
    <w:name w:val="JournalBlank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jmenet.com.cn/standard/standardnom/GBT15835-1995.htm" TargetMode="External"/><Relationship Id="rId13" Type="http://schemas.openxmlformats.org/officeDocument/2006/relationships/hyperlink" Target="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://61.139.105.144/kns50/Navi/Bridge.aspx?DBCode=cjfd&amp;LinkType=IssueLink&amp;Field=BaseID*year*issue&amp;TableName=CJFDYEARINFO&amp;Value=GCRB*2010*02&amp;NaviLink=%e5%b7%a5%e7%a8%8b%e7%83%ad%e7%89%a9%e7%90%86%e5%ad%a6%e6%8a%a5" TargetMode="Externa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yperlink" Target="http://61.139.105.144/kns50/Navi/Bridge.aspx?DBCode=cjfd&amp;LinkType=BaseLink&amp;Field=BaseID&amp;TableName=CJFDBASEINFO&amp;NaviLink=%e5%b7%a5%e7%a8%8b%e7%83%ad%e7%89%a9%e7%90%86%e5%ad%a6%e6%8a%a5&amp;Value=GCRB" TargetMode="External"/><Relationship Id="rId19" Type="http://schemas.openxmlformats.org/officeDocument/2006/relationships/image" Target="media/journal_figure1.png"/><Relationship Id="rId20" Type="http://schemas.openxmlformats.org/officeDocument/2006/relationships/image" Target="media/journal_figure2.png"/><Relationship Id="rId21" Type="http://schemas.openxmlformats.org/officeDocument/2006/relationships/image" Target="media/journal_figure3.png"/><Relationship Id="rId22" Type="http://schemas.openxmlformats.org/officeDocument/2006/relationships/image" Target="media/journal_figur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4497</Words>
  <Characters>5700</Characters>
  <Application>Microsoft Office Word</Application>
  <DocSecurity>4</DocSecurity>
  <Lines>225</Lines>
  <Paragraphs>150</Paragraphs>
  <ScaleCrop>false</ScaleCrop>
  <Company>Sky123.Org</Company>
  <LinksUpToDate>false</LinksUpToDate>
  <CharactersWithSpaces>6068</CharactersWithSpaces>
  <SharedDoc>false</SharedDoc>
  <HLinks>
    <vt:vector size="24" baseType="variant">
      <vt:variant>
        <vt:i4>8192061</vt:i4>
      </vt:variant>
      <vt:variant>
        <vt:i4>12</vt:i4>
      </vt:variant>
      <vt:variant>
        <vt:i4>0</vt:i4>
      </vt:variant>
      <vt:variant>
        <vt:i4>5</vt:i4>
      </vt:variant>
      <vt:variant>
        <vt:lpwstr>http://61.139.105.144/kns50/Navi/Bridge.aspx?DBCode=cjfd&amp;LinkType=IssueLink&amp;Field=BaseID*year*issue&amp;TableName=CJFDYEARINFO&amp;Value=GCRB*2010*02&amp;NaviLink=%e5%b7%a5%e7%a8%8b%e7%83%ad%e7%89%a9%e7%90%86%e5%ad%a6%e6%8a%a5</vt:lpwstr>
      </vt:variant>
      <vt:variant>
        <vt:lpwstr/>
      </vt:variant>
      <vt:variant>
        <vt:i4>3604598</vt:i4>
      </vt:variant>
      <vt:variant>
        <vt:i4>9</vt:i4>
      </vt:variant>
      <vt:variant>
        <vt:i4>0</vt:i4>
      </vt:variant>
      <vt:variant>
        <vt:i4>5</vt:i4>
      </vt:variant>
      <vt:variant>
        <vt:lpwstr>http://61.139.105.144/kns50/Navi/Bridge.aspx?DBCode=cjfd&amp;LinkType=BaseLink&amp;Field=BaseID&amp;TableName=CJFDBASEINFO&amp;NaviLink=%e5%b7%a5%e7%a8%8b%e7%83%ad%e7%89%a9%e7%90%86%e5%ad%a6%e6%8a%a5&amp;Value=GCRB</vt:lpwstr>
      </vt:variant>
      <vt:variant>
        <vt:lpwstr/>
      </vt:variant>
      <vt:variant>
        <vt:i4>8257651</vt:i4>
      </vt:variant>
      <vt:variant>
        <vt:i4>6</vt:i4>
      </vt:variant>
      <vt:variant>
        <vt:i4>0</vt:i4>
      </vt:variant>
      <vt:variant>
        <vt:i4>5</vt:i4>
      </vt:variant>
      <vt:variant>
        <vt:lpwstr>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</vt:lpwstr>
      </vt:variant>
      <vt:variant>
        <vt:lpwstr/>
      </vt:variant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http://www.cjmenet.com.cn/standard/standardnom/GBT15835-1995.htm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稿件规范（1）投稿前，请认真阅读《征稿简则》和本刊的近期内容</dc:title>
  <dc:subject/>
  <dc:creator>杨跃寰</dc:creator>
  <cp:keywords/>
  <cp:lastModifiedBy>Alice Wonderland</cp:lastModifiedBy>
  <cp:revision>2</cp:revision>
  <dcterms:created xsi:type="dcterms:W3CDTF">2026-10-21T12:31:00Z</dcterms:created>
  <dcterms:modified xsi:type="dcterms:W3CDTF">2026-10-21T12:31:00Z</dcterms:modified>
</cp:coreProperties>
</file>