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提出自适应多尺度加权方法，按窗口统计量融合三个分解线性模型（DLinear）的小时级流量预测。8次重复中，Abilene和GÉANT的24 h均方误差较LightTS平均降低25.77%和43.74%，参数量为其6.41%和2.17%。较DLinear，Abilene高需求点平均低估误差降低16.07%，GÉANT的168 h均方误差和平均绝对误差降低23.16%和11.16%，辅助容量需求估计。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采用可分解多尺度混合；TimesNet公开基准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则将基于多层感知机（multilayer perceptron，MLP）的LightTS纳入比较。多尺度信息的提取还需与融合方式相配合。固定等权或全局权重在窗口间共享融合系数，因而不能根据当前窗口的变化状态调整尺度权重。本文关注如何在控制参数规模的同时，利用窗口信息调整尺度权重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据此，本文将三个独立DLinear专家与四维窗口统计特征驱动的尺度路由相结合，构建自适应多尺度加权预测模型。时间聚合形成多分辨率输入，各专家在OD变量间共享时间映射，使参数量不随变量数增加；路由网络仅含131个参数，根据窗口状态分配尺度权重。在Abilene和GÉANT上以96 h输入开展24 h预测、融合消融与高需求点分析，并在GÉANT上开展168 h预测，评价预测误差与参数规模。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个OD变量。沿时间轴以1 h步长构造滑动窗口，第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组成，其中行对应时间点，列对应OD变量：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为聚合窗口内的时间索引。各尺度覆盖同一96 h历史，分别以1 h输入值、2 h均值和4 h均值构成96、48和24步序列。各尺度使用结构相同、参数独立的DLinear专家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，组成四维窗口整体统计特征向量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反映标准化窗口相对训练期均值的整体偏移，标准差概括时间与变量两个维度的离散程度；末时刻均值表征窗口末端状态，平均绝对一阶差分反映相邻小时的变化幅度。由此，路由网络以四维输入汇总窗口状态，尺度分数计算为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同一尺度的线性映射在变量间共享，因此参数量不随OD变量数增加；24 h配置中，路由参数仅占总参数量的1.57%。当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对数变换后，仅保留训练集标准差大于10⁻⁸的变量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h，批量大小为16。DLinear及多尺度模型的学习率为0.001，最多训练30轮，早停耐心值为6；LightTS采用TimesNet公开基准代码库的实现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各模型均采用42～49八个共同随机种子重复训练。误差报告均值与样本标准差，误差线表示样本标准差；相对降幅按相同种子下的结果计算，再取平均。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0.255±0.014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0.761±0.056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0.516±0.013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表2中，本文方法在两套数据上的平均MSE和MAE均最优。相对LightTS，Abilene和GÉANT的MSE平均降低25.77%和43.74%，MAE降低12.66%和29.09%。结合图2，本文参数量为8339，相比LightTS的130162和384382分别减少93.59%和97.83%。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相对LightTS的预测误差降低率与参数比例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)、(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)的柱高为八个共同种子的平均相对降幅，误差线为样本标准差；图2(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)以对应LightTS配置的参数量为100%，给出本文模型的参数比例。该结果表明，在所设24 h任务中，多尺度线性预测与低维窗口融合能够兼顾参数规模和预测误差。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与尺度集合不变，比较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各对照均以真实历史序列驱动尺度专家，结果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各项平均误差均最优。相对DLinear，两套数据的MSE平均降低2.77%和2.35%；相对全局权重，降低1.80%和4.31%。Abilene的MAE较二者降低8.01%和8.91%。GÉANT上，仅本文方法的平均MSE低于DLinear；恒定输入路由保留相同结构和参数量，其误差仍较高，支持窗口统计量驱动的融合设计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 xmlns:w="http://schemas.openxmlformats.org/wordprocessingml/2006/main"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以标准化训练集各OD变量的第90百分位为阈值</w:t>
      </w:r>
      <ns0:oMath xmlns:ns0="http://schemas.openxmlformats.org/officeDocument/2006/math">
        <ns0:sSub>
          <ns0:sSubPr>
            <ns0:ctrlPr>
              <w:rPr>
                <w:rFonts w:ascii="Cambria Math" w:hAnsi="Cambria Math"/>
              </w:rPr>
            </ns0:ctrlPr>
          </ns0:sSubPr>
          <ns0:e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τ</ns0:t>
            </ns0:r>
          </ns0:e>
          <ns0:sub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c</ns0:t>
            </ns0:r>
          </ns0:sub>
        </ns0:sSub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，记测试集高需求目标点集合为</w:t>
      </w:r>
      <ns0:oMath xmlns:ns0="http://schemas.openxmlformats.org/officeDocument/2006/math">
        <ns0:r>
          <ns0:rPr>
            <ns0:sty ns0:val="i"/>
          </ns0:rPr>
          <w:rPr>
            <w:rFonts w:ascii="Times New Roman" w:hAnsi="Times New Roman" w:cs="Times New Roman"/>
            <w:sz w:val="21"/>
            <w:szCs w:val="21"/>
          </w:rPr>
          <ns0:t>Ω</ns0:t>
        </ns0:r>
        <ns0:r>
          <ns0:rPr>
            <ns0:sty ns0:val="p"/>
          </ns0:rPr>
          <w:rPr>
            <w:rFonts w:ascii="Times New Roman" w:hAnsi="Times New Roman" w:cs="Times New Roman"/>
            <w:sz w:val="21"/>
            <w:szCs w:val="21"/>
          </w:rPr>
          <ns0:t>=</ns0:t>
        </ns0:r>
        <ns0:d>
          <ns0:dPr>
            <ns0:begChr ns0:val="{"/>
            <ns0:endChr ns0:val="}"/>
            <ns0:grow ns0:val="1"/>
            <ns0:ctrlPr>
              <w:rPr>
                <w:rFonts w:ascii="Cambria Math" w:hAnsi="Cambria Math"/>
              </w:rPr>
            </ns0:ctrlPr>
          </ns0:dPr>
          <ns0:e>
            <ns0:d>
              <ns0:dPr>
                <ns0:begChr ns0:val="("/>
                <ns0:endChr ns0:val=")"/>
                <ns0:grow ns0:val="1"/>
                <ns0:ctrlPr>
                  <w:rPr>
                    <w:rFonts w:ascii="Cambria Math" w:hAnsi="Cambria Math"/>
                  </w:rPr>
                </ns0:ctrlPr>
              </ns0:d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e>
            </ns0:d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|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Y</ns0:t>
                </ns0:r>
              </ns0:e>
              <ns0:sub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&gt;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τ</ns0:t>
                </ns0:r>
              </ns0:e>
              <ns0:sub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</ns0:e>
        </ns0:d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，在集合内全部目标点上计算MAE与平均低估误差（average underestimation error，AUE）：</w:t>
      </w:r>
    </w:p>
    <w:p xmlns:w="http://schemas.openxmlformats.org/wordprocessingml/2006/main" xmlns:w14="http://schemas.microsoft.com/office/word/2010/wordml" xmlns:m="http://schemas.openxmlformats.org/officeDocument/2006/math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AUE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1</m:t>
            </m:r>
          </m:num>
          <m:den>
            <m:d>
              <m:dPr>
                <m:begChr m:val="|"/>
                <m:endChr m:val="|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Ω</m:t>
                </m:r>
              </m:e>
            </m:d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d>
              <m:dPr>
                <m:begChr m:val="("/>
                <m:endChr m:val=")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Times New Roman" w:hAnsi="Times New Roman" w:cs="Times New Roman"/>
                <w:sz w:val="21"/>
                <w:szCs w:val="21"/>
              </w:rPr>
              <m:t>Ω</m:t>
            </m:r>
          </m:sub>
          <m:sup/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max</m:t>
                </m:r>
              </m:fName>
              <m:e>
                <m:d>
                  <m:dPr>
                    <m:begChr m:val="("/>
                    <m:endChr m:val=")"/>
                    <m:grow m:val="1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</m:e>
                </m:d>
              </m:e>
            </m:func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(16)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高需求预测点的MAE与平均低估误差（8次重复）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AUE为0.147和0.137，在GÉANT上为0.632和0.577，均值均低于所列对照。Abilene上，相对DLinear两项指标平均降低13.96%和16.07%，相对固定等权降低17.47%和20.84%，说明高需求点的预测误差和需求低估幅度均得到改善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一周预测取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=168，保持96 h输入及原有数据划分与预处理。表4所列五种模型均沿用2.1节的训练设置，按168 h输出独立训练，并在GÉANT的全部307个测试窗口上评价。</w:t>
      </w:r>
    </w:p>
    <w:p xmlns:w="http://schemas.openxmlformats.org/wordprocessingml/2006/main"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表4 GÉANT一周预测的绝对误差（8次重复）</w:t>
      </w:r>
    </w:p>
    <w:tbl xmlns:w="http://schemas.openxmlformats.org/wordprocessingml/2006/main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608"/>
        <w:gridCol w:w="2608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1.100±0.091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0.604±0.021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1.149±0.107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0.614±0.027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1.148±0.108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0.613±0.027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1.102±0.028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0.604±0.010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0.841±0.088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0.536±0.028</w:t>
            </w:r>
          </w:p>
        </w:tc>
      </w:tr>
    </w:tbl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194.8446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195127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195127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GÉANT一周预测中本文方法相对各对照的误差降幅（8次重复）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表4中，本文方法的平均MSE和MAE均最优，较DLinear降低23.16%和11.16%，较其余融合对照降低23.77%～26.11%和11.19%～12.39%。168 h模型含57587个参数，路由网络仍为131个，仅占0.23%。图4中，全部64个配对降幅（4种对照×2项指标×8个种子）均为正值，体现了本组一周预测实验中误差降低的一致性。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平均相对降幅分别为25.77%和43.74%，参数量分别为对应LightTS配置的6.41%和2.17%。在GÉANT的一周任务中，MSE与MAE相对DLinear的平均相对降幅分别为23.16%和11.16%。结合高需求点的预测结果，这些实验为利用低维窗口信息融合多尺度预测提供了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forecasts hourly traffic by combining three decomposition linear models (DLinear) according to window statistics. Across eight training runs, mean relative reductions in 24-hour mean squared error versus LightTS are 25.77% on Abilene and 43.74% on GÉANT. Parameter counts are 6.41% and 2.17% of the respective LightTS configurations. Relative to DLinear, the mean shortfall at high-demand Abilene points decreases by 16.07%. For 168-hour GÉANT forecasting against DLinear, mean squared error and mean absolute error decrease by 23.16% and 11.16%, respectively. These results support capacity demand estimation using hourly traffic forecasts.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