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rFonts w:ascii="Times New Roman" w:hAnsi="Times New Roman" w:eastAsia="宋体"/>
          <w:b w:val="0"/>
          <w:color w:val="000000"/>
          <w:sz w:val="21"/>
        </w:rPr>
        <w:t>摘要：针对小时级骨干网流量中短时波动与较慢趋势并存的问题，提出基于自适应多尺度加权的预测方法。三个独立DLinear专家处理不同时间分辨率的历史序列，路由网络根据四项窗口统计量计算尺度权重并融合预测。在Abilene和GÉANT上，以96 h历史预测未来24 h，八个共同种子下相对单尺度DLinear的平均MSE降幅分别为2.77%和2.35%；在周期基线可评价的共同起点，相对周周期朴素预测分别降低47.80%和29.69%。模型含8339个参数，其中路由网络含131个参数。训练历史长度和连续测试时段的补充评价显示融合收益存在条件依赖，相对全局可学习权重，部分短历史及12 h预测设置下出现负改进。结果支持该方法在所测历史数据上的离线预测价值，其跨网络迁移和实际部署效果仍需验证。</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rFonts w:ascii="Times New Roman" w:hAnsi="Times New Roman" w:eastAsia="宋体"/>
          <w:b w:val="0"/>
          <w:color w:val="000000"/>
          <w:sz w:val="21"/>
        </w:rPr>
        <w:t>Abstract: An adaptive multiscale weighting method is proposed for hourly backbone network traffic forecasting, where short-term fluctuations coexist with slower trends. Three independent DLinear experts process historical sequences at different temporal resolutions. A routing network computes scale weights from four window statistics and combines their forecasts. Experiments on Abilene and GÉANT use 96 hours of history to predict the next 24 hours. Across eight matched random seeds, the mean seed-wise reductions in mean squared error relative to single-scale DLinear are 2.77% and 2.35%, respectively. At common test origins where both seasonal references are available, the reductions relative to weekly seasonal naive forecasting are 47.80% and 29.69%. The model has 8,339 parameters, including 131 routing parameters. Additional training-history and chronological-block evaluations show that fusion benefits depend on the setting. Negative improvements over learned global weights occur with some shorter training histories and in the 12-hour forecasting experiment. The results support offline forecasting on these two historical backbone datasets; cross-network transfer and deployment performance require further validation.</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rFonts w:ascii="Times New Roman" w:hAnsi="Times New Roman" w:eastAsia="宋体"/>
          <w:color w:val="000000"/>
          <w:sz w:val="21"/>
          <w:szCs w:val="21"/>
        </w:rPr>
        <w:t xml:space="preserve">骨干网容量规划需要估计源—目的节点对（origin-destination，OD）未来的通信需求。本文研究根据过去96 h的OD流量预测未来24 h逐小时需求的问题。不同OD变量的量级和变化规律存在差异，同一序列中又常同时出现短时波动与较慢趋势。因此，模型既要保留局部变化，也要利用时间聚合后的趋势信息，并控制多尺度处理带来的额外开销。</w:t>
      </w:r>
    </w:p>
    <w:p w14:paraId="7F38D516" w14:textId="5572BE45" w:rsidR="00B14FA3" w:rsidRPr="00B14FA3" w:rsidRDefault="00B14FA3" w:rsidP="00593DFC">
      <w:pPr>
        <w:rPr>
          <w:color w:val="000000"/>
        </w:rPr>
      </w:pPr>
      <w:r>
        <w:rPr>
          <w:rFonts w:ascii="Times New Roman" w:hAnsi="Times New Roman" w:eastAsia="宋体"/>
          <w:color w:val="000000"/>
          <w:sz w:val="21"/>
          <w:szCs w:val="21"/>
        </w:rPr>
        <w:t xml:space="preserve">现有研究从时间依赖、变量关联和周期结构等角度处理网络流量预测问题。Lohrasbinasab等</w:t>
      </w:r>
      <w:r>
        <w:rPr>
          <w:rFonts w:ascii="Times New Roman" w:hAnsi="Times New Roman" w:eastAsia="宋体"/>
          <w:color w:val="000000"/>
          <w:sz w:val="21"/>
          <w:szCs w:val="21"/>
          <w:vertAlign w:val="superscript"/>
        </w:rPr>
        <w:t xml:space="preserve">[1]</w:t>
      </w:r>
      <w:r>
        <w:rPr>
          <w:rFonts w:ascii="Times New Roman" w:hAnsi="Times New Roman" w:eastAsia="宋体"/>
          <w:color w:val="000000"/>
          <w:sz w:val="21"/>
          <w:szCs w:val="21"/>
        </w:rPr>
        <w:t xml:space="preserve">综述了统计方法与机器学习方法的发展；Qin等</w:t>
      </w:r>
      <w:r>
        <w:rPr>
          <w:rFonts w:ascii="Times New Roman" w:hAnsi="Times New Roman" w:eastAsia="宋体"/>
          <w:color w:val="000000"/>
          <w:sz w:val="21"/>
          <w:szCs w:val="21"/>
          <w:vertAlign w:val="superscript"/>
        </w:rPr>
        <w:t xml:space="preserve">[2]</w:t>
      </w:r>
      <w:r>
        <w:rPr>
          <w:rFonts w:ascii="Times New Roman" w:hAnsi="Times New Roman" w:eastAsia="宋体"/>
          <w:color w:val="000000"/>
          <w:sz w:val="21"/>
          <w:szCs w:val="21"/>
        </w:rPr>
        <w:t xml:space="preserve">采用图神经网络建模空间关联与时间依赖；韦烜等</w:t>
      </w:r>
      <w:r>
        <w:rPr>
          <w:rFonts w:ascii="Times New Roman" w:hAnsi="Times New Roman" w:eastAsia="宋体"/>
          <w:color w:val="000000"/>
          <w:sz w:val="21"/>
          <w:szCs w:val="21"/>
          <w:vertAlign w:val="superscript"/>
        </w:rPr>
        <w:t xml:space="preserve">[3]</w:t>
      </w:r>
      <w:r>
        <w:rPr>
          <w:rFonts w:ascii="Times New Roman" w:hAnsi="Times New Roman" w:eastAsia="宋体"/>
          <w:color w:val="000000"/>
          <w:sz w:val="21"/>
          <w:szCs w:val="21"/>
        </w:rPr>
        <w:t xml:space="preserve">分析大型网际协议（Internet protocol，IP）网络流量矩阵的变量关联和时间变化；唐文杰等</w:t>
      </w:r>
      <w:r>
        <w:rPr>
          <w:rFonts w:ascii="Times New Roman" w:hAnsi="Times New Roman" w:eastAsia="宋体"/>
          <w:color w:val="000000"/>
          <w:sz w:val="21"/>
          <w:szCs w:val="21"/>
          <w:vertAlign w:val="superscript"/>
        </w:rPr>
        <w:t xml:space="preserve">[4]</w:t>
      </w:r>
      <w:r>
        <w:rPr>
          <w:rFonts w:ascii="Times New Roman" w:hAnsi="Times New Roman" w:eastAsia="宋体"/>
          <w:color w:val="000000"/>
          <w:sz w:val="21"/>
          <w:szCs w:val="21"/>
        </w:rPr>
        <w:t xml:space="preserve">在CycleLLH中引入周期性信息。这些研究说明，多变量流量预测需要根据任务选择时间结构与变量关系的建模方式。</w:t>
      </w:r>
    </w:p>
    <w:p w14:paraId="42539D89" w14:textId="0D154D3C" w:rsidR="00B14FA3" w:rsidRPr="00B14FA3" w:rsidRDefault="00BD323E" w:rsidP="00593DFC">
      <w:pPr>
        <w:rPr>
          <w:color w:val="000000"/>
        </w:rPr>
      </w:pPr>
      <w:r>
        <w:rPr>
          <w:rFonts w:ascii="Times New Roman" w:hAnsi="Times New Roman" w:eastAsia="宋体"/>
          <w:color w:val="000000"/>
          <w:sz w:val="21"/>
          <w:szCs w:val="21"/>
        </w:rPr>
        <w:t xml:space="preserve">多尺度方法通过不同时间分辨率描述流量变化。Zhou等</w:t>
      </w:r>
      <w:r>
        <w:rPr>
          <w:rFonts w:ascii="Times New Roman" w:hAnsi="Times New Roman" w:eastAsia="宋体"/>
          <w:color w:val="000000"/>
          <w:sz w:val="21"/>
          <w:szCs w:val="21"/>
          <w:vertAlign w:val="superscript"/>
        </w:rPr>
        <w:t xml:space="preserve">[5]</w:t>
      </w:r>
      <w:r>
        <w:rPr>
          <w:rFonts w:ascii="Times New Roman" w:hAnsi="Times New Roman" w:eastAsia="宋体"/>
          <w:color w:val="000000"/>
          <w:sz w:val="21"/>
          <w:szCs w:val="21"/>
        </w:rPr>
        <w:t xml:space="preserve">采用深度回声状态网络进行多尺度流量预测。在轻量预测方法中，分解线性模型（decomposition linear model，DLinear）</w:t>
      </w:r>
      <w:r>
        <w:rPr>
          <w:rFonts w:ascii="Times New Roman" w:hAnsi="Times New Roman" w:eastAsia="宋体"/>
          <w:color w:val="000000"/>
          <w:sz w:val="21"/>
          <w:szCs w:val="21"/>
          <w:vertAlign w:val="superscript"/>
        </w:rPr>
        <w:t xml:space="preserve">[6]</w:t>
      </w:r>
      <w:r>
        <w:rPr>
          <w:rFonts w:ascii="Times New Roman" w:hAnsi="Times New Roman" w:eastAsia="宋体"/>
          <w:color w:val="000000"/>
          <w:sz w:val="21"/>
          <w:szCs w:val="21"/>
        </w:rPr>
        <w:t xml:space="preserve">利用序列分解和线性映射生成预测，TimeMixer</w:t>
      </w:r>
      <w:r>
        <w:rPr>
          <w:rFonts w:ascii="Times New Roman" w:hAnsi="Times New Roman" w:eastAsia="宋体"/>
          <w:color w:val="000000"/>
          <w:sz w:val="21"/>
          <w:szCs w:val="21"/>
          <w:vertAlign w:val="superscript"/>
        </w:rPr>
        <w:t xml:space="preserve">[7]</w:t>
      </w:r>
      <w:r>
        <w:rPr>
          <w:rFonts w:ascii="Times New Roman" w:hAnsi="Times New Roman" w:eastAsia="宋体"/>
          <w:color w:val="000000"/>
          <w:sz w:val="21"/>
          <w:szCs w:val="21"/>
        </w:rPr>
        <w:t xml:space="preserve">通过多尺度混合组织时间信息，LightTS</w:t>
      </w:r>
      <w:r>
        <w:rPr>
          <w:rFonts w:ascii="Times New Roman" w:hAnsi="Times New Roman" w:eastAsia="宋体"/>
          <w:color w:val="000000"/>
          <w:sz w:val="21"/>
          <w:szCs w:val="21"/>
          <w:vertAlign w:val="superscript"/>
        </w:rPr>
        <w:t xml:space="preserve">[8]</w:t>
      </w:r>
      <w:r>
        <w:rPr>
          <w:rFonts w:ascii="Times New Roman" w:hAnsi="Times New Roman" w:eastAsia="宋体"/>
          <w:color w:val="000000"/>
          <w:sz w:val="21"/>
          <w:szCs w:val="21"/>
        </w:rPr>
        <w:t xml:space="preserve">采用采样导向的多层感知器（multilayer perceptron，MLP）。本文沿用DLinear作为尺度专家，将研究重点放在不同尺度预测的融合方式上。</w:t>
      </w:r>
    </w:p>
    <w:p w14:paraId="526A74AA" w14:textId="06B6E35B" w:rsidR="003F55FC" w:rsidRDefault="00833E9D" w:rsidP="00593DFC">
      <w:pPr>
        <w:rPr>
          <w:color w:val="000000"/>
          <w:szCs w:val="21"/>
        </w:rPr>
      </w:pPr>
      <w:r>
        <w:rPr>
          <w:rFonts w:ascii="Times New Roman" w:hAnsi="Times New Roman" w:eastAsia="宋体"/>
          <w:color w:val="000000"/>
          <w:sz w:val="21"/>
          <w:szCs w:val="21"/>
        </w:rPr>
        <w:t xml:space="preserve">在专家结构相同、参数相互独立的条件下，固定融合权重无法随当前窗口调整各尺度的贡献。本文考察以低维窗口统计量驱动尺度权重，能否在有限参数增量下获得优于固定融合的预测误差。这里的自适应针对尺度，所有OD变量在同一窗口内共用一组权重；模型不显式学习逐变量权重或网络拓扑关系。</w:t>
      </w:r>
    </w:p>
    <w:p w14:paraId="449406FB" w14:textId="7D78990E" w:rsidR="00917D78" w:rsidRDefault="00833E9D" w:rsidP="00593DFC">
      <w:r>
        <w:rPr>
          <w:rFonts w:ascii="Times New Roman" w:hAnsi="Times New Roman" w:eastAsia="宋体"/>
          <w:color w:val="000000"/>
          <w:sz w:val="21"/>
          <w:szCs w:val="21"/>
        </w:rPr>
        <w:t xml:space="preserve">为检验这一问题，本文设置尺度1、2和4的独立DLinear专家，并以四维统计特征驱动尺度路由网络。在Abilene和GÉANT上分别训练和测试，通过固定等权、全局可学习权重及恒定输入路由对照区分不同融合方式的作用，进一步比较12 h与24 h预测结果，并分析计算开销和适用边界。</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rFonts w:ascii="Times New Roman" w:hAnsi="Times New Roman" w:eastAsia="宋体"/>
          <w:color w:val="000000"/>
          <w:sz w:val="21"/>
          <w:szCs w:val="21"/>
        </w:rPr>
        <w:t xml:space="preserve">图1给出模型的预测分支与路由分支。历史OD窗口经对数变换和标准化后，构造三个时间尺度的输入；各DLinear专家分别预测趋势项与余项，并将二者相加，得到相同预测长度的候选结果。路由网络从预处理窗口提取四项统计量，经Softmax生成尺度权重，最终对候选预测加权求和。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AA10292" w:rsidR="00C334D8" w:rsidRPr="00C334D8" w:rsidRDefault="005F6077" w:rsidP="00593DFC">
      <w:pPr>
        <w:widowControl/>
        <w:rPr>
          <w:color w:val="000000"/>
          <w:szCs w:val="21"/>
        </w:rPr>
      </w:pPr>
      <w:r>
        <w:rPr>
          <w:rFonts w:ascii="Times New Roman" w:hAnsi="Times New Roman" w:eastAsia="宋体"/>
          <w:color w:val="000000"/>
          <w:sz w:val="21"/>
          <w:szCs w:val="21"/>
        </w:rPr>
        <w:t xml:space="preserve">三个专家结构相同、参数独立。细尺度保留局部变化，粗尺度通过时间聚合平滑短时波动；尺度权重决定这些候选预测在最终输出中的相对贡献。</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DDC5223"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w:t>
      </w:r>
      <w:r w:rsidR="00921A07">
        <w:rPr>
          <w:rFonts w:hint="eastAsia"/>
          <w:color w:val="000000"/>
          <w:szCs w:val="21"/>
        </w:rPr>
        <w:t>，</w:t>
      </w:r>
      <w:r w:rsidR="00B14FA3">
        <w:rPr>
          <w:color w:val="000000"/>
          <w:szCs w:val="21"/>
        </w:rPr>
        <w:t>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rFonts w:ascii="Times New Roman" w:hAnsi="Times New Roman" w:eastAsia="宋体"/>
          <w:color w:val="000000"/>
          <w:sz w:val="21"/>
          <w:szCs w:val="21"/>
        </w:rPr>
        <w:t xml:space="preserve">主实验使用过去96 h预测未来24 h。补充实验保持历史长度不变，将预测长度改为12 h，用于检验融合效果对预测长度的依赖。</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Pr>
          <w:rFonts w:ascii="Times New Roman" w:hAnsi="Times New Roman" w:eastAsia="宋体"/>
          <w:color w:val="000000"/>
          <w:sz w:val="21"/>
          <w:szCs w:val="21"/>
        </w:rPr>
        <w:t xml:space="preserve">非重叠平均池化不引入可训练参数。96步历史在尺度1、2和4上分别形成96、48和24步输入，粗尺度通过局部取均值平滑短时波动。</w:t>
      </w:r>
    </w:p>
    <w:p w14:paraId="671CE50B" w14:textId="7C1E9C32" w:rsidR="00917D78" w:rsidRDefault="00000000" w:rsidP="00593DFC">
      <w:pPr>
        <w:widowControl/>
      </w:pPr>
      <w:r>
        <w:rPr>
          <w:rFonts w:ascii="Times New Roman" w:hAnsi="Times New Roman" w:eastAsia="宋体"/>
          <w:color w:val="000000"/>
          <w:sz w:val="21"/>
          <w:szCs w:val="21"/>
        </w:rPr>
        <w:t xml:space="preserve">尺度集合{1,2,4}使各尺度输入长度均为整数，每个尺度配置一个独立专家；同一尺度内，每个时间点仅参与一次聚合。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pPr>
      <w:r>
        <w:rPr>
          <w:color w:val="000000"/>
          <w:szCs w:val="21"/>
        </w:rPr>
        <w:lastRenderedPageBreak/>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表示标准化窗口的平均水平，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Pr>
          <w:rFonts w:ascii="Times New Roman" w:hAnsi="Times New Roman" w:eastAsia="宋体"/>
          <w:color w:val="000000"/>
          <w:sz w:val="21"/>
          <w:szCs w:val="21"/>
        </w:rPr>
        <w:t xml:space="preserve">尺度路由网络由两层全连接层组成，将四维统计向量映射到16维隐藏层，再输出三个尺度分数。隐藏层采用修正线性单元（rectified linear unit，ReLU）激活。该模块只负责尺度融合，不再增加循环网络或注意力编码器。尺度分数计算如下：</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。同一窗口内的全部OD变量和预测步共用这组尺度权重。变量信息通过共享线性映射和汇总统计量参与预测，模型不构造变量对之间的显式交互。该设计控制了参数规模，但会压缩各变量状态差异。</w:t>
      </w:r>
      <w:r>
        <w:rPr>
          <w:color w:val="000000"/>
          <w:szCs w:val="21"/>
        </w:rPr>
        <w:t/>
      </w:r>
      <w:r>
        <w:rPr>
          <w:color w:val="000000"/>
          <w:szCs w:val="21"/>
        </w:rPr>
        <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ascii="Times New Roman" w:hAnsi="Times New Roman" w:eastAsia="宋体"/>
          <w:color w:val="000000"/>
          <w:sz w:val="21"/>
          <w:szCs w:val="21"/>
        </w:rPr>
        <w:t xml:space="preserve">推理时，历史窗口沿用训练阶段的预处理规则，经多尺度专家和路由网络生成未来多步预测。本文的误差评价在标准化空间完成；用于实际需求分析前，还需恢复原始流量量纲。</w:t>
      </w:r>
    </w:p>
    <w:p>
      <w:pPr>
        <w:spacing w:before="80" w:after="20"/>
        <w:ind w:firstLine="0"/>
        <w:jc w:val="left"/>
        <w:outlineLvl w:val="1"/>
        <w:rPr>
          <w:rFonts w:eastAsia="黑体"/>
          <w:b/>
          <w:bCs/>
          <w:szCs w:val="32"/>
        </w:rPr>
        <w:keepNext/>
      </w:pPr>
      <w:r>
        <w:rPr>
          <w:rFonts w:ascii="Times New Roman" w:hAnsi="Times New Roman" w:eastAsia="黑体"/>
          <w:color w:val="000000"/>
          <w:sz w:val="24"/>
          <w:szCs w:val="24"/>
          <w:b/>
        </w:rPr>
        <w:t xml:space="preserve">1.5 参数规模与计算复杂度</w:t>
      </w:r>
    </w:p>
    <w:p>
      <w:pPr>
        <w:rPr>
          <w:color w:val="000000"/>
        </w:rPr>
      </w:pPr>
      <w:r>
        <w:rPr>
          <w:rFonts w:ascii="Times New Roman" w:hAnsi="Times New Roman" w:eastAsia="宋体"/>
          <w:color w:val="000000"/>
          <w:sz w:val="21"/>
          <w:szCs w:val="21"/>
        </w:rPr>
        <w:t xml:space="preserve">设尺度数为K，路由隐藏层宽度为d。每个尺度的两个线性层合计包含2H(L/s+1)个参数，且在OD变量间共享；路由网络参数量为4×16+16+16×3+3=131。主实验取L=96、H=24、K=3，参数总量为：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pPr>
        <w:rPr>
          <w:color w:val="000000"/>
        </w:rPr>
      </w:pPr>
      <w:r>
        <w:rPr>
          <w:rFonts w:ascii="Times New Roman" w:hAnsi="Times New Roman" w:eastAsia="宋体"/>
          <w:color w:val="000000"/>
          <w:sz w:val="21"/>
          <w:szCs w:val="21"/>
        </w:rPr>
        <w:t xml:space="preserve">对单个窗口，尺度池化及四项统计量的计算量随LC线性增长；各尺度移动平均的直接计算量与qC乘以各尺度输入长度之和成正比，线性预测与HC乘以该长度之和成正比，输出融合与KHC成正比。固定尺度集合及q=25时，主要计算量为O(CHL+CL)，路由MLP的计算量为O(4d+dK)。忽略固定算子的工作区，输入和候选预测的存储量为O(CL+KHC)。</w:t>
      </w:r>
    </w:p>
    <w:p>
      <w:pPr>
        <w:rPr>
          <w:color w:val="000000"/>
        </w:rPr>
      </w:pPr>
      <w:r>
        <w:rPr>
          <w:rFonts w:ascii="Times New Roman" w:hAnsi="Times New Roman" w:eastAsia="宋体"/>
          <w:color w:val="000000"/>
          <w:sz w:val="21"/>
          <w:szCs w:val="21"/>
        </w:rPr>
        <w:t xml:space="preserve">因此，在历史长度和预测长度固定时，参数量不随OD变量数增加，但计算量与中间张量仍随变量数增长。历史长度或预测长度增加也会提高参数量和计算量。若保留完整OD矩阵，变量数最多随节点数的平方增长，本文的参数共享并不意味着对网络节点数具有线性扩展性。</w:t>
      </w:r>
    </w:p>
    <w:p w14:paraId="09E0692C" w14:textId="77777777" w:rsidR="00B14FA3" w:rsidRPr="00B14FA3" w:rsidRDefault="00B14FA3" w:rsidP="00593DFC">
      <w:pPr>
        <w:keepNext/>
        <w:spacing w:before="80" w:after="20"/>
        <w:ind w:firstLine="0"/>
        <w:jc w:val="left"/>
        <w:outlineLvl w:val="0"/>
        <w:rPr>
          <w:rFonts w:eastAsia="黑体"/>
          <w:b/>
          <w:bCs/>
          <w:szCs w:val="32"/>
        </w:rPr>
      </w:pPr>
      <w:r w:rsidRPr="00B14FA3">
        <w:rPr>
          <w:rFonts w:eastAsia="黑体"/>
          <w:b/>
          <w:bCs/>
          <w:color w:val="000000"/>
          <w:sz w:val="24"/>
        </w:rPr>
        <w:lastRenderedPageBreak/>
        <w:t xml:space="preserve">2 </w:t>
      </w:r>
      <w:r w:rsidRPr="00B14FA3">
        <w:rPr>
          <w:rFonts w:eastAsia="黑体"/>
          <w:b/>
          <w:bCs/>
          <w:color w:val="000000"/>
          <w:sz w:val="24"/>
        </w:rPr>
        <w:t>实验与结果分析</w:t>
      </w:r>
    </w:p>
    <w:p w14:paraId="012F77CF" w14:textId="77777777" w:rsidR="00917D78" w:rsidRDefault="00000000" w:rsidP="00593DFC">
      <w:r>
        <w:rPr>
          <w:rFonts w:ascii="Times New Roman" w:hAnsi="Times New Roman" w:eastAsia="宋体"/>
          <w:color w:val="000000"/>
          <w:sz w:val="21"/>
          <w:szCs w:val="21"/>
        </w:rPr>
        <w:t xml:space="preserve">实验评价总体误差、融合方式、预测长度、尺度权重和计算开销，并据此讨论适用范围。</w:t>
      </w:r>
    </w:p>
    <w:p w14:paraId="1513E3DE" w14:textId="77777777" w:rsidR="00B14FA3" w:rsidRPr="00B14FA3" w:rsidRDefault="00B14FA3" w:rsidP="00593DFC">
      <w:pPr>
        <w:spacing w:before="80" w:after="20"/>
        <w:ind w:firstLine="0"/>
        <w:jc w:val="left"/>
        <w:outlineLvl w:val="1"/>
        <w:rPr>
          <w:rFonts w:eastAsia="黑体"/>
          <w:b/>
          <w:bCs/>
          <w:szCs w:val="32"/>
        </w:rPr>
        <w:keepNext/>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pPr>
        <w:keepLines/>
      </w:pPr>
      <w:r>
        <w:rPr>
          <w:rFonts w:ascii="Times New Roman" w:hAnsi="Times New Roman" w:eastAsia="宋体"/>
          <w:color w:val="000000"/>
          <w:sz w:val="21"/>
          <w:szCs w:val="21"/>
        </w:rPr>
        <w:t xml:space="preserve">本实验选用CESNET TS-Zoo</w:t>
      </w:r>
      <w:r>
        <w:rPr>
          <w:rFonts w:ascii="Times New Roman" w:hAnsi="Times New Roman" w:eastAsia="宋体"/>
          <w:color w:val="000000"/>
          <w:sz w:val="21"/>
          <w:szCs w:val="21"/>
          <w:vertAlign w:val="superscript"/>
        </w:rPr>
        <w:t xml:space="preserve">[9]</w:t>
      </w:r>
      <w:r>
        <w:rPr>
          <w:rFonts w:ascii="Times New Roman" w:hAnsi="Times New Roman" w:eastAsia="宋体"/>
          <w:color w:val="000000"/>
          <w:sz w:val="21"/>
          <w:szCs w:val="21"/>
        </w:rPr>
        <w:t xml:space="preserve">中的1 h粒度Abilene</w:t>
      </w:r>
      <w:r>
        <w:rPr>
          <w:rFonts w:ascii="Times New Roman" w:hAnsi="Times New Roman" w:eastAsia="宋体"/>
          <w:color w:val="000000"/>
          <w:sz w:val="21"/>
          <w:szCs w:val="21"/>
          <w:vertAlign w:val="superscript"/>
        </w:rPr>
        <w:t xml:space="preserve">[10]</w:t>
      </w:r>
      <w:r>
        <w:rPr>
          <w:rFonts w:ascii="Times New Roman" w:hAnsi="Times New Roman" w:eastAsia="宋体"/>
          <w:color w:val="000000"/>
          <w:sz w:val="21"/>
          <w:szCs w:val="21"/>
        </w:rPr>
        <w:t xml:space="preserve">和GÉANT</w:t>
      </w:r>
      <w:r>
        <w:rPr>
          <w:rFonts w:ascii="Times New Roman" w:hAnsi="Times New Roman" w:eastAsia="宋体"/>
          <w:color w:val="000000"/>
          <w:sz w:val="21"/>
          <w:szCs w:val="21"/>
          <w:vertAlign w:val="superscript"/>
        </w:rPr>
        <w:t xml:space="preserve">[11]</w:t>
      </w:r>
      <w:r>
        <w:rPr>
          <w:rFonts w:ascii="Times New Roman" w:hAnsi="Times New Roman" w:eastAsia="宋体"/>
          <w:color w:val="000000"/>
          <w:sz w:val="21"/>
          <w:szCs w:val="21"/>
        </w:rPr>
        <w:t xml:space="preserve">流量矩阵。主实验均使用96步历史预测未来24步，规模及窗口数见表1。Abilene包含144个有效OD变量；GÉANT仅依据训练集标准差剔除恒定或近恒定变量后保留524个变量。两套数据分别按时间顺序以6∶2∶2划分，并独立训练和测试，预处理见第1.1节。</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pPr>
        <w:rPr>
          <w:color w:val="000000"/>
        </w:rPr>
      </w:pPr>
      <w:r>
        <w:rPr>
          <w:rFonts w:ascii="Times New Roman" w:hAnsi="Times New Roman" w:eastAsia="宋体"/>
          <w:color w:val="000000"/>
          <w:sz w:val="21"/>
          <w:szCs w:val="21"/>
        </w:rPr>
        <w:t xml:space="preserve">按1 h采样点数量折算，两套数据的总观测量约为194.0 d和118.7 d，训练部分约为116.4 d和71.2 d。相邻滑动窗口有重叠，表1窗口数不等于独立观测数，OD变量数也不等于独立网络数。上述数据量可用于所设模型的离线比较，但不足以覆盖长期季节变化及复杂业务变化；增加随机种子不能弥补这一覆盖不足。</w:t>
      </w:r>
    </w:p>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Pr>
          <w:rFonts w:ascii="Times New Roman" w:hAnsi="Times New Roman" w:eastAsia="宋体"/>
          <w:color w:val="000000"/>
          <w:sz w:val="21"/>
          <w:szCs w:val="21"/>
        </w:rPr>
        <w:t xml:space="preserve">各模型使用相同的数据划分、输入长度、主实验预测长度和评价指标，批量大小均为16，优化器均为Adam；超参数预先固定，未对各模型分别搜索。可训练融合参数与尺度专家共同优化，以验证集MSE选择检查点。DLinear及各多尺度模型的学习率为0.001，最多训练30轮，早停耐心值为6；LightTS的学习率为0.0001，最多50轮，早停耐心值为10。因此，表2反映这些固定配置下的比较，不代表各基线经充分调优后的最优性能。</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rFonts w:ascii="Times New Roman" w:hAnsi="Times New Roman" w:eastAsia="宋体"/>
          <w:color w:val="000000"/>
          <w:sz w:val="21"/>
          <w:szCs w:val="21"/>
        </w:rPr>
        <w:t xml:space="preserve">外部基线比较采用42～44三个共同随机种子；核心消融采用42～49八个共同随机种子。补充的12 h预测仅比较全局可学习权重与本文方法，保持数据划分、历史长度、批量大小和优化设置不变，并按相同八个种子重新训练。两套数据的训练、验证、测试窗口数在12 h设置下分别为2686/824/825和1602/463/463。</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Pr>
          <w:rFonts w:ascii="Times New Roman" w:hAnsi="Times New Roman" w:eastAsia="宋体"/>
          <w:color w:val="000000"/>
          <w:sz w:val="21"/>
          <w:szCs w:val="21"/>
        </w:rPr>
        <w:t xml:space="preserve">所有指标在对数变换及逐变量标准化后的空间计算，数值越小表示误差越低，不能直接解释为原始流量或链路负载的误差。表2和表3分别报告三个、八个种子的均值±样本标准差。改进率按共同种子逐一计算，即对照与本文方法的误差之差除以对照误差，再取平均；不使用表内舍入值计算。八种子改进率的95%置信区间使用自由度7的t分布和种子间标准误。该区间仅描述固定数据划分下的训练随机性，不代表跨网络不确定性；重叠测试窗口不作为独立重复，本文不据此进行显著性检验。</w:t>
      </w:r>
    </w:p>
    <w:p w14:paraId="2F0652BD" w14:textId="77777777" w:rsidR="00B14FA3" w:rsidRPr="00B14FA3" w:rsidRDefault="00B14FA3" w:rsidP="00593DFC">
      <w:pPr>
        <w:keepNext/>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593DFC">
      <w:r>
        <w:rPr>
          <w:rFonts w:ascii="Times New Roman" w:hAnsi="Times New Roman" w:eastAsia="宋体"/>
          <w:color w:val="000000"/>
          <w:sz w:val="21"/>
          <w:szCs w:val="21"/>
        </w:rPr>
        <w:t xml:space="preserve">表2报告三个共同随机种子的基线结果。在本实验配置下，本文方法在Abilene和GÉANT上的逐种子平均MSE相对DLinear分别降低4.07%和4.54%，相对LightTS分别降低29.80%和46.89%。图2补充各指标的逐种子改进率及参数比例。</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rFonts w:ascii="Times New Roman" w:hAnsi="Times New Roman" w:eastAsia="宋体"/>
          <w:color w:val="000000"/>
          <w:sz w:val="21"/>
          <w:szCs w:val="21"/>
        </w:rPr>
        <w:t xml:space="preserve">两个数据集的三个共同种子中，本文方法相对LightTS的MSE、MAE和RMSE均降低。8339个参数分别约为LightTS参数量的6.41%和2.17%。这一结果说明本文方法在所设轻量基线下具有参数规模优势，不能据此推断其优于其他类型的流量预测模型。</w:t>
      </w:r>
    </w:p>
    <w:p w14:paraId="53FC2AE4" w14:textId="77777777" w:rsidR="00917D78" w:rsidRDefault="00000000" w:rsidP="00593DFC">
      <w:r>
        <w:rPr>
          <w:rFonts w:ascii="Times New Roman" w:hAnsi="Times New Roman" w:eastAsia="宋体"/>
          <w:color w:val="000000"/>
          <w:sz w:val="21"/>
          <w:szCs w:val="21"/>
        </w:rPr>
        <w:t xml:space="preserve">以下使用相同的多尺度专家比较融合方式，以减小主干结构差异对结果解释的影响。</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2.3 融合方式消融与预测长度影响</w:t>
      </w:r>
    </w:p>
    <w:p w14:paraId="696FCD2B" w14:textId="77777777" w:rsidR="00B14FA3" w:rsidRPr="00B14FA3" w:rsidRDefault="00B14FA3" w:rsidP="00593DFC">
      <w:r>
        <w:rPr>
          <w:rFonts w:ascii="Times New Roman" w:hAnsi="Times New Roman" w:eastAsia="宋体"/>
          <w:color w:val="000000"/>
          <w:sz w:val="21"/>
          <w:szCs w:val="21"/>
        </w:rPr>
        <w:t xml:space="preserve">表3报告八个共同种子的消融结果。该设置比表2增加了训练重复次数，但未增加独立的流量观测数据。</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rFonts w:ascii="Times New Roman" w:hAnsi="Times New Roman" w:eastAsia="宋体"/>
          <w:color w:val="000000"/>
          <w:sz w:val="21"/>
          <w:szCs w:val="21"/>
        </w:rPr>
        <w:t xml:space="preserve">相对全局可学习权重和恒定输入路由，本文方法在Abilene上的逐种子平均MSE改进率均约为1.80%，在GÉANT上分别为4.31%和4.97%。Abilene相对两类对照均有6/8个种子改善，GÉANT均为7/8。相对全局权重的95%置信区间分别为[0.01%,3.58%]和[−2.51%,11.13%]；相对恒定输入路由分别为[0.49%,3.11%]和[−1.62%,11.56%]。GÉANT的两项区间均跨零，因此其平均改进不能表述为稳定优势。</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Pr>
          <w:rFonts w:ascii="Times New Roman" w:hAnsi="Times New Roman" w:eastAsia="宋体"/>
          <w:color w:val="000000"/>
          <w:sz w:val="21"/>
          <w:szCs w:val="21"/>
        </w:rPr>
        <w:t xml:space="preserve">相对DLinear，Abilene的MSE、MAE和RMSE平均改进率为2.77%、8.01%和1.40%，GÉANT为2.35%、1.32%和1.22%。相对固定等权多尺度，两套数据的MSE平均改进率分别为1.65%和4.54%。GÉANT的种子间波动更大，部分种子出现负改进。</w:t>
      </w:r>
    </w:p>
    <w:p w14:paraId="4C5298AD" w14:textId="77777777" w:rsidR="00917D78" w:rsidRDefault="00000000" w:rsidP="00593DFC">
      <w:pPr>
        <w:widowControl/>
      </w:pPr>
      <w:r>
        <w:rPr>
          <w:rFonts w:ascii="Times New Roman" w:hAnsi="Times New Roman" w:eastAsia="宋体"/>
          <w:color w:val="000000"/>
          <w:sz w:val="21"/>
          <w:szCs w:val="21"/>
        </w:rPr>
        <w:t xml:space="preserve">在24 h设置下，GÉANT种子43相对恒定输入路由的MSE增加12.77%，说明平均误差下降并不等于每次训练均改善。进一步保持历史长度96 h，将预测长度改为12 h，结果见表4。不同预测长度的测试目标与窗口数不同，因此仅在同一预测长度内比较两种融合方式。</w:t>
      </w:r>
    </w:p>
    <w:p>
      <w:pPr>
        <w:spacing w:before="60" w:after="40"/>
        <w:ind w:firstLine="0"/>
        <w:jc w:val="center"/>
        <w:keepNext/>
      </w:pPr>
      <w:r>
        <w:rPr>
          <w:rFonts w:ascii="Times New Roman" w:hAnsi="Times New Roman" w:eastAsia="宋体"/>
          <w:color w:val="000000"/>
          <w:sz w:val="21"/>
          <w:szCs w:val="21"/>
          <w:b/>
        </w:rPr>
        <w:t xml:space="preserve">表4 12 h预测的融合方式比较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50"/>
        <w:gridCol w:w="1800"/>
        <w:gridCol w:w="1800"/>
        <w:gridCol w:w="1250"/>
        <w:gridCol w:w="2100"/>
        <w:gridCol w:w="1000"/>
      </w:tblGrid>
      <w:tr>
        <w:trPr>
          <w:cantSplit/>
          <w:tblHeader/>
        </w:trPr>
        <w:tc>
          <w:tcPr>
            <w:tcW w:w="10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全局权重MSE</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本文方法MSE</w:t>
            </w:r>
          </w:p>
        </w:tc>
        <w:tc>
          <w:tcPr>
            <w:tcW w:w="12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改进率/%</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95%区间/%</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改善种子</w:t>
            </w:r>
          </w:p>
        </w:tc>
      </w:tr>
      <w:tr>
        <w:trPr>
          <w:cantSplit/>
        </w:trPr>
        <w:tc>
          <w:tcPr>
            <w:tcW w:w="10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0.135±0.007</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0.113±0.012</w:t>
            </w:r>
          </w:p>
        </w:tc>
        <w:tc>
          <w:tcPr>
            <w:tcW w:w="12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15.97</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[5.05,26.88]</w:t>
            </w:r>
          </w:p>
        </w:tc>
        <w:tc>
          <w:tcPr>
            <w:tcW w:w="10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7/8</w:t>
            </w:r>
          </w:p>
        </w:tc>
      </w:tr>
      <w:tr>
        <w:trPr>
          <w:cantSplit/>
        </w:trPr>
        <w:tc>
          <w:tcPr>
            <w:tcW w:w="10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0.386±0.008</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0.390±0.015</w:t>
            </w:r>
          </w:p>
        </w:tc>
        <w:tc>
          <w:tcPr>
            <w:tcW w:w="12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-1.17</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[-5.79,3.46]</w:t>
            </w:r>
          </w:p>
        </w:tc>
        <w:tc>
          <w:tcPr>
            <w:tcW w:w="10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3/8</w:t>
            </w:r>
          </w:p>
        </w:tc>
      </w:tr>
    </w:tbl>
    <w:p>
      <w:pPr>
        <w:rPr>
          <w:color w:val="000000"/>
        </w:rPr>
      </w:pPr>
      <w:r>
        <w:rPr>
          <w:rFonts w:ascii="Times New Roman" w:hAnsi="Times New Roman" w:eastAsia="宋体"/>
          <w:color w:val="000000"/>
          <w:sz w:val="21"/>
          <w:szCs w:val="21"/>
        </w:rPr>
        <w:t xml:space="preserve">表4中MSE为八种子的均值±标准差，改进率按种子配对计算。12 h预测时，本文方法与全局权重模型分别为4235和4107个参数。Abilene有7/8个种子改善；GÉANT仅3/8个，平均MSE反而略高。因此，24 h预测上的平均改进不能直接推广到其他预测长度。</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rFonts w:ascii="Times New Roman" w:hAnsi="Times New Roman" w:eastAsia="宋体"/>
          <w:color w:val="000000"/>
          <w:sz w:val="21"/>
          <w:szCs w:val="21"/>
        </w:rPr>
        <w:t xml:space="preserve">图4中，四种模型在较高真实值区间均出现低估，本文方法的分组平均偏差较小。四例典型轨迹中，本文方法有三例的24步MSE低于所示对照，在Abilene典型波动窗口中表现较差。典型轨迹仅用于展示行为，整体比较仍以表3为准。</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rFonts w:ascii="Times New Roman" w:hAnsi="Times New Roman" w:eastAsia="宋体"/>
          <w:color w:val="000000"/>
          <w:sz w:val="21"/>
          <w:szCs w:val="21"/>
        </w:rPr>
        <w:t xml:space="preserve">Abilene三个尺度的汇总平均权重为0.257、0.319和0.424，GÉANT为0.283、0.318和0.399。GÉANT各尺度权重总方差约有96.2%、95.8%和97.7%来自种子间差异，Abilene对应比例为48.7%、86.1%和80.6%。因此，偏离等权只能说明模型形成了非等权分配，不能单独证明权重随窗口发生有效调整，尤其是GÉANT同一种子内的权重变化较小。</w:t>
      </w:r>
    </w:p>
    <w:p w14:paraId="24A03653" w14:textId="1847F511" w:rsidR="00B14FA3" w:rsidRPr="00545955" w:rsidRDefault="00006FCD" w:rsidP="00593DFC">
      <w:pPr>
        <w:widowControl/>
        <w:rPr>
          <w:color w:val="000000"/>
          <w:szCs w:val="21"/>
        </w:rPr>
      </w:pPr>
      <w:r>
        <w:rPr>
          <w:rFonts w:ascii="Times New Roman" w:hAnsi="Times New Roman" w:eastAsia="宋体"/>
          <w:color w:val="000000"/>
          <w:sz w:val="21"/>
          <w:szCs w:val="21"/>
        </w:rPr>
        <w:t xml:space="preserve">两个数据集分别按各自训练窗口的平均绝对一阶差分三分位阈值划分低、中、高波动组。Abilene测试窗口数为15、406、392，相对全局权重的平均MSE改进率为4.43%、1.90%、1.69%；GÉANT低波动组为空，中、高组为76、375个窗口，改进率为5.85%、4.06%。Abilene高波动组的尺度1权重较高，但误差改善未同步增大；GÉANT中、高组权重接近，误差改善却有差异。这些结果不支持将误差下降简单归因于更强的动态权重调整。</w:t>
      </w:r>
    </w:p>
    <w:p w14:paraId="3150CF57" w14:textId="77777777" w:rsidR="00B14FA3" w:rsidRPr="00B14FA3" w:rsidRDefault="00B14FA3" w:rsidP="00593DFC">
      <w:pPr>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2.5 计算开销与网络管理应用</w:t>
      </w:r>
    </w:p>
    <w:p w14:paraId="042F177F" w14:textId="5518A5D1" w:rsidR="00917D78" w:rsidRDefault="00000000" w:rsidP="00593DFC">
      <w:pPr>
        <w:widowControl/>
      </w:pPr>
      <w:r>
        <w:rPr>
          <w:rFonts w:ascii="Times New Roman" w:hAnsi="Times New Roman" w:eastAsia="宋体"/>
          <w:color w:val="000000"/>
          <w:sz w:val="21"/>
          <w:szCs w:val="21"/>
        </w:rPr>
        <w:t xml:space="preserve">表5比较参数量与前向耗时。本文方法比固定等权多尺度增加131个路由参数，比全局可学习权重增加128个参数；但相对单尺度DLinear，参数量由4656增至8339，推理也需执行三个专家。因此，路由参数增量较小不能等同于整个模型的计算开销与单尺度相当。</w:t>
      </w:r>
    </w:p>
    <w:p w14:paraId="1DA52347" w14:textId="151FF53C" w:rsidR="00917D78" w:rsidRDefault="00144EB6" w:rsidP="00593DFC">
      <w:pPr>
        <w:widowControl/>
      </w:pPr>
      <w:r>
        <w:rPr>
          <w:rFonts w:ascii="Times New Roman" w:hAnsi="Times New Roman" w:eastAsia="宋体"/>
          <w:color w:val="000000"/>
          <w:sz w:val="21"/>
          <w:szCs w:val="21"/>
        </w:rPr>
        <w:t xml:space="preserve">采用种子42～49的八个检查点，在GTX 1060（6 GB）上以CUDA事件计时，在i7-8750H上进行单线程CPU计时。批量大小为16，输入张量预先载入目标设备并关闭梯度；GPU各检查点预热50批、完整测试集重复30次，CPU预热30批、重复10次。每次总耗时除以批次数，先在检查点内平均，再报告八个检查点的均值±标准差。表5不包含数据读取、设备传输、预处理和结果还原，不能作为在线端到端延迟。</w:t>
      </w:r>
    </w:p>
    <w:p>
      <w:pPr>
        <w:spacing w:before="60" w:after="40"/>
        <w:ind w:firstLine="0"/>
        <w:jc w:val="center"/>
        <w:keepNext/>
      </w:pPr>
      <w:r>
        <w:rPr>
          <w:rFonts w:ascii="Times New Roman" w:hAnsi="Times New Roman" w:eastAsia="宋体"/>
          <w:color w:val="000000"/>
          <w:sz w:val="21"/>
          <w:szCs w:val="21"/>
          <w:b/>
        </w:rPr>
        <w:t xml:space="preserve">表5 参数量与每批前向耗时</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00"/>
        <w:gridCol w:w="2500"/>
        <w:gridCol w:w="1200"/>
        <w:gridCol w:w="2100"/>
        <w:gridCol w:w="2100"/>
      </w:tblGrid>
      <w:tr>
        <w:trPr>
          <w:cantSplit/>
          <w:tblHeader/>
        </w:trPr>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参数量</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GPU耗时/ms</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CPU耗时/ms</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0.75±0.11</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16.86±1.13</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2.50±0.24</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31.24±0.40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本文方法</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8339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3.28±0.20</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40.65±0.19</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0.82±0.09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56.71±0.40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2.55±0.25</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101.53±2.69</w:t>
            </w:r>
          </w:p>
        </w:tc>
      </w:tr>
      <w:tr>
        <w:trPr>
          <w:cantSplit/>
        </w:trPr>
        <w:tc>
          <w:tcPr>
            <w:tcW w:w="1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25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本文方法</w:t>
            </w:r>
          </w:p>
        </w:tc>
        <w:tc>
          <w:tcPr>
            <w:tcW w:w="12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8339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5.26±2.79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131.35±1.25</w:t>
            </w:r>
          </w:p>
        </w:tc>
      </w:tr>
    </w:tbl>
    <w:p w14:paraId="758F1192" w14:textId="77777777" w:rsidR="00144EB6" w:rsidRDefault="00144EB6" w:rsidP="00593DFC">
      <w:pPr>
        <w:widowControl/>
        <w:rPr>
          <w:color w:val="000000"/>
          <w:szCs w:val="21"/>
        </w:rPr>
      </w:pPr>
      <w:r>
        <w:rPr>
          <w:rFonts w:ascii="Times New Roman" w:hAnsi="Times New Roman" w:eastAsia="宋体"/>
          <w:color w:val="000000"/>
          <w:sz w:val="21"/>
          <w:szCs w:val="21"/>
        </w:rPr>
        <w:t xml:space="preserve">在相同历史长度与预测长度下，144与524个变量均对应8339个参数，但CPU前向耗时明显增加，说明参数共享不能消除变量规模带来的计算增长。已有训练记录中，本文方法在Abilene和GÉANT上的完整训练评估流程耗时分别为52.47±22.48 s和32.73±34.48 s。该计时包含训练、验证、检查点读写及测试，早停轮次也不同，不能作为纯训练速度或扩展性基准。</w:t>
      </w:r>
    </w:p>
    <w:p w14:paraId="3AC41EAB" w14:textId="11C14BEF" w:rsidR="00917D78" w:rsidRDefault="00144EB6" w:rsidP="00593DFC">
      <w:pPr>
        <w:widowControl/>
      </w:pPr>
      <w:r>
        <w:rPr>
          <w:rFonts w:ascii="Times New Roman" w:hAnsi="Times New Roman" w:eastAsia="宋体"/>
          <w:color w:val="000000"/>
          <w:sz w:val="21"/>
          <w:szCs w:val="21"/>
        </w:rPr>
        <w:t xml:space="preserve">面向小时级需求分析，模型可在新观测到达后，以最近96 h历史生成未来24 h的逐小时OD预测。实际使用前需依次逆标准化、逆对数变换并截断至非负，再结合已知拓扑和路由关系汇总链路需求。本文未执行这一步的在线部署，也未测量调度收益，因而当前实验仅评价离线预测能力。</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Pr>
          <w:rFonts w:ascii="Times New Roman" w:hAnsi="Times New Roman" w:eastAsia="宋体"/>
          <w:color w:val="000000"/>
          <w:sz w:val="21"/>
          <w:szCs w:val="21"/>
        </w:rPr>
        <w:t xml:space="preserve">Abilene高需求预测点的改善在不同种子下较一致；GÉANT两项配对改进率的95%置信区间均跨零。上述结果只说明标准化空间内的高需求预测误差，尚不能证明原始流量量纲下的峰值保障或容量调度效果。</w:t>
      </w:r>
    </w:p>
    <w:p>
      <w:pPr>
        <w:spacing w:before="80" w:after="20"/>
        <w:ind w:firstLine="0"/>
        <w:jc w:val="left"/>
        <w:outlineLvl w:val="1"/>
        <w:rPr>
          <w:rFonts w:eastAsia="黑体"/>
          <w:b/>
          <w:bCs/>
          <w:szCs w:val="32"/>
        </w:rPr>
        <w:keepNext/>
      </w:pPr>
      <w:r>
        <w:rPr>
          <w:rFonts w:ascii="Times New Roman" w:hAnsi="Times New Roman" w:eastAsia="黑体"/>
          <w:b/>
          <w:color w:val="000000"/>
          <w:sz w:val="24"/>
        </w:rPr>
        <w:t>2.6 周期基线与稳定性补充实验</w:t>
      </w:r>
    </w:p>
    <w:p>
      <w:pPr>
        <w:rPr>
          <w:color w:val="000000"/>
        </w:rPr>
      </w:pPr>
      <w:r>
        <w:rPr>
          <w:rFonts w:ascii="Times New Roman" w:hAnsi="Times New Roman" w:eastAsia="宋体"/>
          <w:b w:val="0"/>
          <w:color w:val="000000"/>
          <w:sz w:val="21"/>
        </w:rPr>
        <w:t>为检验模型相对简单周期预测的收益，增加24 h与168 h滞后的季节性朴素基线，即使用前一日或前一周对应时刻的观测预测未来24 h。共同测试起点从测试段第168小时开始，Abilene和GÉANT分别保留741和379个预测窗口，三个学习模型均在相同起点重新计分。周周期基线使用168 h历史，长于学习模型的96 h，因此该比较允许不同历史长度。所有输入仅来自预测起点之前，结果见表6。</w:t>
      </w:r>
    </w:p>
    <w:p>
      <w:pPr>
        <w:spacing w:before="60" w:after="40"/>
        <w:ind w:firstLine="0"/>
        <w:jc w:val="center"/>
        <w:keepNext/>
      </w:pPr>
      <w:r>
        <w:rPr>
          <w:rFonts w:ascii="Times New Roman" w:hAnsi="Times New Roman" w:eastAsia="黑体"/>
          <w:b/>
          <w:color w:val="000000"/>
          <w:sz w:val="21"/>
        </w:rPr>
        <w:t>表6 共同测试起点上的周期基线比较</w:t>
      </w:r>
    </w:p>
    <w:tbl>
      <w:tblPr>
        <w:tblW w:type="auto" w:w="0"/>
        <w:jc w:val="center"/>
        <w:tblLayout w:type="fixed"/>
        <w:tblLook w:firstColumn="1" w:firstRow="1" w:lastColumn="0" w:lastRow="0" w:noHBand="0" w:noVBand="1" w:val="04A0"/>
      </w:tblPr>
      <w:tblGrid>
        <w:gridCol w:w="1195"/>
        <w:gridCol w:w="1757"/>
        <w:gridCol w:w="979"/>
        <w:gridCol w:w="2131"/>
        <w:gridCol w:w="2131"/>
      </w:tblGrid>
      <w:tr>
        <w:trPr>
          <w:cantSplit/>
          <w:tblHeader/>
        </w:trPr>
        <w:tc>
          <w:tcPr>
            <w:tcW w:type="dxa" w:w="1195"/>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数据集</w:t>
            </w:r>
          </w:p>
        </w:tc>
        <w:tc>
          <w:tcPr>
            <w:tcW w:type="dxa" w:w="1757"/>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方法</w:t>
            </w:r>
          </w:p>
        </w:tc>
        <w:tc>
          <w:tcPr>
            <w:tcW w:type="dxa" w:w="979"/>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历史/h</w:t>
            </w:r>
          </w:p>
        </w:tc>
        <w:tc>
          <w:tcPr>
            <w:tcW w:type="dxa" w:w="2131"/>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MSE</w:t>
            </w:r>
          </w:p>
        </w:tc>
        <w:tc>
          <w:tcPr>
            <w:tcW w:type="dxa" w:w="2131"/>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MAE</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日周期朴素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24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0.370</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0.231</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周周期朴素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168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0.390</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0.245</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DLinear</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0.209±0.002</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0.196±0.008</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全局权重</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0.207±0.002</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0.198±0.006</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本文方法</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0.204±0.003</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0.180±0.009</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日周期朴素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24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0.647</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0.404</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周周期朴素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168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0.628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0.442</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DLinear</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0.454±0.016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0.372±0.012</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全局权重</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0.464±0.014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0.379±0.009</w:t>
            </w:r>
          </w:p>
        </w:tc>
      </w:tr>
      <w:tr>
        <w:trPr>
          <w:cantSplit/>
        </w:trPr>
        <w:tc>
          <w:tcPr>
            <w:tcW w:type="dxa" w:w="1195"/>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1757"/>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本文方法</w:t>
            </w:r>
          </w:p>
        </w:tc>
        <w:tc>
          <w:tcPr>
            <w:tcW w:type="dxa" w:w="979"/>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96</w:t>
            </w:r>
          </w:p>
        </w:tc>
        <w:tc>
          <w:tcPr>
            <w:tcW w:type="dxa" w:w="2131"/>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0.442±0.030</w:t>
            </w:r>
          </w:p>
        </w:tc>
        <w:tc>
          <w:tcPr>
            <w:tcW w:type="dxa" w:w="2131"/>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0.367±0.019</w:t>
            </w:r>
          </w:p>
        </w:tc>
      </w:tr>
    </w:tbl>
    <w:p>
      <w:pPr>
        <w:rPr>
          <w:color w:val="000000"/>
        </w:rPr>
      </w:pPr>
      <w:r>
        <w:rPr>
          <w:rFonts w:ascii="Times New Roman" w:hAnsi="Times New Roman" w:eastAsia="宋体"/>
          <w:b w:val="0"/>
          <w:color w:val="000000"/>
          <w:sz w:val="21"/>
        </w:rPr>
        <w:t>表6中学习模型报告八个种子的均值±样本标准差；朴素基线为确定性计算，不设种子标准差。指标沿用原完整训练集定义的标准化坐标。该表评价的窗口少于表3，二者不能跨表直接比较数值。本文方法相对日周期基线的逐种子平均MSE降幅在Abilene和GÉANT上分别为44.93%和31.77%，相对周周期基线分别为47.80%和29.69%。这一比较提供简单周期复制的参照；融合机制本身的增益仍按表3的等结构对照评价。</w:t>
      </w:r>
    </w:p>
    <w:p>
      <w:pPr>
        <w:rPr>
          <w:color w:val="000000"/>
        </w:rPr>
      </w:pPr>
      <w:r>
        <w:rPr>
          <w:rFonts w:ascii="Times New Roman" w:hAnsi="Times New Roman" w:eastAsia="宋体"/>
          <w:b w:val="0"/>
          <w:color w:val="000000"/>
          <w:sz w:val="21"/>
        </w:rPr>
        <w:t>训练历史实验固定原验证、测试时间段及OD变量集合，从同一训练截止点向前保留最近25%、50%、75%和100%的训练观测。前三种比例分别重新拟合训练段的逐变量均值与标准差，再训练DLinear、全局权重和本文方法；训练配置与主实验一致，各用42～49八个共同种子。100%条件沿用主实验检查点，其余比例按相同配置重新训练，均以验证误差选择检查点。所有预测还原到原完整训练集定义的标准化坐标后计分，以保证不同训练比例之间的误差可比。结果见图6。</w:t>
      </w:r>
    </w:p>
    <w:p>
      <w:pPr>
        <w:spacing w:before="60" w:after="40"/>
        <w:ind w:firstLine="0"/>
        <w:jc w:val="center"/>
        <w:keepNext/>
      </w:pPr>
      <w:r>
        <w:rPr>
          <w:rFonts w:ascii="Times New Roman" w:hAnsi="Times New Roman" w:eastAsia="宋体"/>
          <w:b w:val="0"/>
          <w:color w:val="000000"/>
          <w:sz w:val="21"/>
        </w:rPr>
      </w:r>
      <w:r>
        <w:drawing>
          <wp:inline xmlns:a="http://schemas.openxmlformats.org/drawingml/2006/main" xmlns:pic="http://schemas.openxmlformats.org/drawingml/2006/picture">
            <wp:extent cx="5806440" cy="2515987"/>
            <wp:docPr id="415865666" name="Picture 415865666"/>
            <wp:cNvGraphicFramePr>
              <a:graphicFrameLocks noChangeAspect="1"/>
            </wp:cNvGraphicFramePr>
            <a:graphic>
              <a:graphicData uri="http://schemas.openxmlformats.org/drawingml/2006/picture">
                <pic:pic>
                  <pic:nvPicPr>
                    <pic:cNvPr id="0" name="figure6_training_history.png"/>
                    <pic:cNvPicPr/>
                  </pic:nvPicPr>
                  <pic:blipFill>
                    <a:blip r:embed="rId15"/>
                    <a:stretch>
                      <a:fillRect/>
                    </a:stretch>
                  </pic:blipFill>
                  <pic:spPr>
                    <a:xfrm>
                      <a:off x="0" y="0"/>
                      <a:ext cx="5806440" cy="2515987"/>
                    </a:xfrm>
                    <a:prstGeom prst="rect"/>
                  </pic:spPr>
                </pic:pic>
              </a:graphicData>
            </a:graphic>
          </wp:inline>
        </w:drawing>
      </w:r>
    </w:p>
    <w:p>
      <w:pPr>
        <w:spacing w:before="60" w:after="40"/>
        <w:ind w:firstLine="0"/>
        <w:jc w:val="center"/>
        <w:keepNext w:val="0"/>
      </w:pPr>
      <w:r>
        <w:rPr>
          <w:rFonts w:ascii="Times New Roman" w:hAnsi="Times New Roman" w:eastAsia="黑体"/>
          <w:b/>
          <w:color w:val="000000"/>
          <w:sz w:val="21"/>
        </w:rPr>
        <w:t>图6 不同训练历史长度下的测试MSE</w:t>
      </w:r>
    </w:p>
    <w:p>
      <w:pPr>
        <w:rPr>
          <w:color w:val="000000"/>
        </w:rPr>
      </w:pPr>
      <w:r>
        <w:rPr>
          <w:rFonts w:ascii="Times New Roman" w:hAnsi="Times New Roman" w:eastAsia="宋体"/>
          <w:b w:val="0"/>
          <w:color w:val="000000"/>
          <w:sz w:val="21"/>
        </w:rPr>
        <w:t>图6中点为八种子均值，误差棒为种子间样本标准差。横轴为原训练段保留比例；增加比例同时增加观测量和较早时期的覆盖，不能把二者的作用完全分离。训练轮数上限和早停规则相同，但优化更新次数未匹配。在Abilene上，本文方法使用25%和100%历史时的MSE分别为0.177和0.189，且25%、50%和75%历史下的平均MSE均高于全局权重。GÉANT对应两端的MSE为0.482和0.426，但50%历史下回升至0.506。误差未随历史量增加而稳定下降，模型排序也随条件变化。该结果仅用于描述历史长度敏感性，未据本组测试误差另选训练配置。</w:t>
      </w:r>
    </w:p>
    <w:p>
      <w:pPr>
        <w:rPr>
          <w:color w:val="000000"/>
        </w:rPr>
      </w:pPr>
      <w:r>
        <w:rPr>
          <w:rFonts w:ascii="Times New Roman" w:hAnsi="Times New Roman" w:eastAsia="宋体"/>
          <w:b w:val="0"/>
          <w:color w:val="000000"/>
          <w:sz w:val="21"/>
        </w:rPr>
        <w:t>进一步将原测试段从第96小时起的目标时刻均分为三个连续区间T1、T2和T3，保留24 h预测目标全部落在对应区间内的窗口，排除跨区间预测。Abilene三个区间分别有255、256和256个窗口，GÉANT均为135个。使用100%训练历史下的同一模型逐段评价，不在区间之间重新训练。各段目标时刻互不重叠，但段内滑动窗口仍重叠；该分析描述时间稳定性，不把窗口视为独立统计重复。</w:t>
      </w:r>
    </w:p>
    <w:p>
      <w:pPr>
        <w:spacing w:before="60" w:after="40"/>
        <w:ind w:firstLine="0"/>
        <w:jc w:val="center"/>
        <w:keepNext/>
      </w:pPr>
      <w:r>
        <w:rPr>
          <w:rFonts w:ascii="Times New Roman" w:hAnsi="Times New Roman" w:eastAsia="黑体"/>
          <w:b/>
          <w:color w:val="000000"/>
          <w:sz w:val="21"/>
        </w:rPr>
        <w:t>表7 三个连续测试时段的MSE</w:t>
      </w:r>
    </w:p>
    <w:tbl>
      <w:tblPr>
        <w:tblW w:type="auto" w:w="0"/>
        <w:jc w:val="center"/>
        <w:tblLayout w:type="fixed"/>
        <w:tblLook w:firstColumn="1" w:firstRow="1" w:lastColumn="0" w:lastRow="0" w:noHBand="0" w:noVBand="1" w:val="04A0"/>
      </w:tblPr>
      <w:tblGrid>
        <w:gridCol w:w="1152"/>
        <w:gridCol w:w="792"/>
        <w:gridCol w:w="2088"/>
        <w:gridCol w:w="2088"/>
        <w:gridCol w:w="2088"/>
      </w:tblGrid>
      <w:tr>
        <w:trPr>
          <w:cantSplit/>
          <w:tblHeader/>
        </w:trPr>
        <w:tc>
          <w:tcPr>
            <w:tcW w:type="dxa" w:w="1152"/>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数据集</w:t>
            </w:r>
          </w:p>
        </w:tc>
        <w:tc>
          <w:tcPr>
            <w:tcW w:type="dxa" w:w="792"/>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时段</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DLinear</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全局权重</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000000"/>
                <w:sz w:val="20"/>
              </w:rPr>
              <w:t>本文方法</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0.036±0.001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0.036±0.001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0.032±0.001</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T2</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0.551±0.005</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0.545±0.006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0.544±0.010</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T3</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0.024±0.001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0.024±0.001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0.019±0.001</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0.354±0.016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0.363±0.014</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0.351±0.028</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T2</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0.393±0.016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0.403±0.015</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0.392±0.030</w:t>
            </w:r>
          </w:p>
        </w:tc>
      </w:tr>
      <w:tr>
        <w:trPr>
          <w:cantSplit/>
        </w:trPr>
        <w:tc>
          <w:tcPr>
            <w:tcW w:type="dxa" w:w="1152"/>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GÉANT</w:t>
            </w:r>
          </w:p>
        </w:tc>
        <w:tc>
          <w:tcPr>
            <w:tcW w:type="dxa" w:w="792"/>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T3</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0.433±0.018</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0.443±0.016</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000000"/>
                <w:sz w:val="20"/>
              </w:rPr>
              <w:t>0.401±0.036</w:t>
            </w:r>
          </w:p>
        </w:tc>
      </w:tr>
    </w:tbl>
    <w:p>
      <w:pPr>
        <w:rPr>
          <w:color w:val="000000"/>
        </w:rPr>
      </w:pPr>
      <w:r>
        <w:rPr>
          <w:rFonts w:ascii="Times New Roman" w:hAnsi="Times New Roman" w:eastAsia="宋体"/>
          <w:b w:val="0"/>
          <w:color w:val="000000"/>
          <w:sz w:val="21"/>
        </w:rPr>
        <w:t>表7为八种子均值±样本标准差，不同区间的目标分布不同，误差大小不能单独解释为模型随时间退化。相对全局权重，本文方法在Abilene的T1、T2、T3平均MSE改进率分别为10.12%、0.19%、20.58%，在GÉANT上分别为2.99%、2.59%、9.31%。Abilene的T2仅5/8个种子改善；GÉANT前两段相对DLinear均仅4/8个种子改善。各段平均误差虽均较低，但收益幅度和训练重复间的一致性存在差异，不能据此宣称所有时段均具有稳定优势。</w:t>
      </w:r>
    </w:p>
    <w:p>
      <w:pPr>
        <w:spacing w:before="80" w:after="20"/>
        <w:ind w:firstLine="0"/>
        <w:jc w:val="left"/>
        <w:outlineLvl w:val="1"/>
        <w:rPr>
          <w:rFonts w:eastAsia="黑体"/>
          <w:b/>
          <w:bCs/>
          <w:szCs w:val="32"/>
        </w:rPr>
        <w:keepNext/>
      </w:pPr>
      <w:r>
        <w:rPr>
          <w:rFonts w:ascii="Times New Roman" w:hAnsi="Times New Roman" w:eastAsia="黑体"/>
          <w:b/>
          <w:color w:val="000000"/>
          <w:sz w:val="24"/>
        </w:rPr>
        <w:t>2.7 泛化能力与研究局限</w:t>
      </w:r>
    </w:p>
    <w:p>
      <w:pPr>
        <w:rPr>
          <w:color w:val="000000"/>
        </w:rPr>
      </w:pPr>
      <w:r>
        <w:rPr>
          <w:rFonts w:ascii="Times New Roman" w:hAnsi="Times New Roman" w:eastAsia="宋体"/>
          <w:color w:val="000000"/>
          <w:sz w:val="21"/>
          <w:szCs w:val="21"/>
        </w:rPr>
        <w:t xml:space="preserve">两套骨干网数据的OD规模和流量分布不同，可用于检验同一建模方案在两个数据集上分别训练后的表现；这不等于训练于一个网络、直接迁移至另一网络的跨网络泛化。本文未开展跨网络迁移、业务类型分层或拓扑变化实验，也未评价在线更新和概念漂移适应。因而不能据现有结果推断其适用于接入网、数据中心或动态路由环境。</w:t>
      </w:r>
    </w:p>
    <w:p>
      <w:pPr>
        <w:rPr>
          <w:color w:val="000000"/>
        </w:rPr>
      </w:pPr>
      <w:r>
        <w:rPr>
          <w:rFonts w:ascii="Times New Roman" w:hAnsi="Times New Roman" w:eastAsia="宋体"/>
          <w:b w:val="0"/>
          <w:color w:val="000000"/>
          <w:sz w:val="21"/>
        </w:rPr>
        <w:t>当前证据仍受观测时期较短、单一训练—验证—测试划分和有限基线范围约束。训练历史实验同时改变了观测量、时期覆盖和训练更新次数，未分离这些因素；测试分段也未重新训练模型，不属于滚动重训验证。GÉANT的种子波动及12 h负改进表明，当前融合策略的收益不具有普遍性，尚需进一步检验四维汇总统计量对窗口状态的区分能力。后续需要更长时期及不同业务网络的数据和滚动起点评价；实际使用还需测量原始量纲误差、单窗口端到端时延及链路容量决策收益。</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rFonts w:ascii="Times New Roman" w:hAnsi="Times New Roman" w:eastAsia="宋体"/>
          <w:b w:val="0"/>
          <w:color w:val="000000"/>
          <w:sz w:val="21"/>
        </w:rPr>
        <w:t>本文以四维窗口统计量融合三个独立DLinear尺度专家。所测24 h设置下，完整训练历史的平均误差低于DLinear与全局权重，并超过日、周周期朴素基线；训练历史和分时段分析同时揭示了收益对数据覆盖与测试区间的依赖。较短历史下，Abilene的路由融合未必优于对照，GÉANT的部分比较也存在较大种子波动；12 h预测未在两个数据集上均获得改善。该方法以增加尺度专家计算为代价控制融合参数规模，现有证据限于两套历史骨干网的离线实验。后续需在更长时期、不同业务网络和实际端到端流程中检验适用性。</w:t>
      </w:r>
    </w:p>
    <w:p w14:paraId="412192E3" w14:textId="77777777" w:rsidR="00B14FA3" w:rsidRPr="00B14FA3" w:rsidRDefault="00B14FA3" w:rsidP="00593DFC">
      <w:pPr>
        <w:widowControl/>
        <w:spacing w:before="120" w:after="40"/>
        <w:ind w:firstLine="0"/>
        <w:jc w:val="left"/>
        <w:rPr>
          <w:rFonts w:eastAsia="黑体"/>
          <w:b/>
          <w:kern w:val="0"/>
          <w:sz w:val="28"/>
          <w:szCs w:val="20"/>
        </w:rPr>
        <w:keepNext/>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