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补充实验结果与修改记录</w:t>
      </w:r>
    </w:p>
    <w:p>
      <w:r>
        <w:t>基于自适应多尺度加权的多变量网络流量预测方法</w:t>
        <w:br/>
        <w:t>2026年10月20日</w:t>
      </w:r>
    </w:p>
    <w:p>
      <w:r>
        <w:t>本轮完成日周期与周周期朴素基线、训练历史长度曲线及三个连续测试时段的评价。共核验192个模型条件，其中144次为新增训练，48个完整训练历史条件使用既有检查点重新推理并核对保存预测。结果保留全部预设比例和八个随机种子，未根据误差选择种子或省略不利条件。</w:t>
      </w:r>
    </w:p>
    <w:p>
      <w:r>
        <w:t>周期复制比较取得了较大的平均MSE降幅，而完整训练历史下相对等结构融合对照的增益较小。部分短历史条件和测试时段的表现说明，不能把平均收益解释为普遍稳健性。本轮补充增强了条件与边界的证据，不能替代新增流量观测和实际部署验证。</w:t>
      </w:r>
    </w:p>
    <w:p>
      <w:pPr>
        <w:pStyle w:val="Heading1"/>
      </w:pPr>
      <w:r>
        <w:t>一 固定实验规则</w:t>
      </w:r>
    </w:p>
    <w:p>
      <w:r>
        <w:t>数据源及原60%/20%/20%时间划分不变；未新增独立网络或流量观测。所有学习模型以96 h预测未来24 h。训练历史由同一截止点向前截取，原验证、测试段保持不变。</w:t>
      </w:r>
    </w:p>
    <w:p>
      <w:r>
        <w:t>各截取段独立拟合训练均值和标准差；验证与测试只应用该变换。OD变量集合仍按原任务固定，不随比例重新筛选；截取段中标准差小于10的负8次方的变量保留，并将标准差置为1。预测统一还原至原完整训练集的标准化坐标再评价，以免不同训练子集的归一化尺度改变误差单位。</w:t>
      </w:r>
    </w:p>
    <w:p>
      <w:r>
        <w:t>模型为DLinear、全局可学习尺度权重、本文路由方法；种子42～49。批量16，Adam学习率0.001，最多30轮，早停耐心值6；只依验证MSE选择检查点。训练量不同也会改变优化更新次数，本实验未使其相等。</w:t>
      </w:r>
    </w:p>
    <w:p>
      <w:r>
        <w:t>实验规则及源数据、模型、训练代码校验值保存在protocol.json。本轮是在退稿后设计的补充分析，未预注册。部分互不重叠的训练任务并行运行；新增训练耗时含资源竞争，不用于速度对比。</w:t>
      </w:r>
    </w:p>
    <w:p>
      <w:r>
        <w:t>均值±标准差反映同一划分下八个训练种子的变化。配对改进率逐种子计算；配对结果文件中的95%区间为自由度7的t区间，仅描述训练随机性，未作多重比较校正，也不代表独立新网络上的不确定性。未对重叠测试窗口进行独立样本检验。</w:t>
      </w:r>
    </w:p>
    <w:p>
      <w:pPr>
        <w:pStyle w:val="Heading1"/>
      </w:pPr>
      <w:r>
        <w:t>二 日周期与周周期基线</w:t>
      </w:r>
    </w:p>
    <w:p>
      <w:r>
        <w:t>每个预测点直接取前24 h或前168 h的对应观测，不训练参数。为保证两种基线可评价且不读取预测起点后的观测，全部方法统一在测试段起点不早于168 h的窗口计分，Abilene为741窗，GÉANT为379窗。周前基线使用更长的168 h历史；它与96 h学习模型不是等历史预算比较。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864"/>
        <w:gridCol w:w="2088"/>
        <w:gridCol w:w="2088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数据集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方法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历史/h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MSE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MAE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日周期朴素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0.370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0.231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周周期朴素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0.390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0.245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0.209±0.002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0.196±0.008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全局权重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0.207±0.002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0.198±0.006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0.204±0.003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0.180±0.009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日周期朴素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0.647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0.404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周周期朴素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168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0.628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DLinear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0.454±0.016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0.372±0.012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全局权重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0.464±0.014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0.379±0.009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172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本文方法</w:t>
            </w:r>
          </w:p>
        </w:tc>
        <w:tc>
          <w:tcPr>
            <w:tcW w:type="dxa" w:w="864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0.442±0.030</w:t>
            </w:r>
          </w:p>
        </w:tc>
        <w:tc>
          <w:tcPr>
            <w:tcW w:type="dxa" w:w="2088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0.367±0.019</w:t>
            </w:r>
          </w:p>
        </w:tc>
      </w:tr>
    </w:tbl>
    <w:p/>
    <w:p>
      <w:r>
        <w:t>确定性朴素基线只报告一个数值。学习模型为八种子均值±标准差。本文方法相对日周期基线的逐种子平均MSE降幅在Abilene和GÉANT上分别为44.93%和31.77%，相对周周期基线分别为47.80%和29.69%。这一比较提供简单周期复制的参照；融合机制本身的增益仍按论文表3的等结构对照评价。</w:t>
      </w:r>
    </w:p>
    <w:p>
      <w:pPr>
        <w:pStyle w:val="Heading1"/>
      </w:pPr>
      <w:r>
        <w:t>三 训练历史长度实验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576"/>
        <w:gridCol w:w="1469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数据集</w:t>
            </w:r>
          </w:p>
        </w:tc>
        <w:tc>
          <w:tcPr>
            <w:tcW w:type="dxa" w:w="57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比例</w:t>
            </w:r>
          </w:p>
        </w:tc>
        <w:tc>
          <w:tcPr>
            <w:tcW w:type="dxa" w:w="1469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小时/窗口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DLinear MSE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全局权重MSE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本文MSE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57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25%</w:t>
            </w:r>
          </w:p>
        </w:tc>
        <w:tc>
          <w:tcPr>
            <w:tcW w:type="dxa" w:w="1469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698/579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0.1709±0.0010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0.1705±0.0006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0.1767±0.0130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57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50%</w:t>
            </w:r>
          </w:p>
        </w:tc>
        <w:tc>
          <w:tcPr>
            <w:tcW w:type="dxa" w:w="1469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1396/1277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0.1721±0.0029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0.1710±0.0005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0.1738±0.0116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57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75%</w:t>
            </w:r>
          </w:p>
        </w:tc>
        <w:tc>
          <w:tcPr>
            <w:tcW w:type="dxa" w:w="1469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2094/1975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0.1872±0.0022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0.1864±0.0016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0.1874±0.0033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57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1469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2793/2674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0.1942±0.0017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0.1923±0.0021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0.1888±0.0031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57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25%</w:t>
            </w:r>
          </w:p>
        </w:tc>
        <w:tc>
          <w:tcPr>
            <w:tcW w:type="dxa" w:w="1469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427/308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0.5675±0.0233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0.6107±0.0108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0.4821±0.0608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57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50%</w:t>
            </w:r>
          </w:p>
        </w:tc>
        <w:tc>
          <w:tcPr>
            <w:tcW w:type="dxa" w:w="1469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854/735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0.5035±0.0371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0.5335±0.0449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0.5056±0.0943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57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75%</w:t>
            </w:r>
          </w:p>
        </w:tc>
        <w:tc>
          <w:tcPr>
            <w:tcW w:type="dxa" w:w="1469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1281/1162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0.4552±0.0237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0.4625±0.0165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0.4416±0.0479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57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1469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1709/1590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0.4368±0.0157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0.4463±0.0140</w:t>
            </w:r>
          </w:p>
        </w:tc>
        <w:tc>
          <w:tcPr>
            <w:tcW w:type="dxa" w:w="165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0.4264±0.0292</w:t>
            </w:r>
          </w:p>
        </w:tc>
      </w:tr>
    </w:tbl>
    <w:p/>
    <w:p>
      <w:r>
        <w:t>八种子均值±标准差。增加历史量同时纳入更早的观测，本实验不能完全区分数量效应与分布变化。在Abilene上，本文方法使用25%和100%历史时的MSE分别为0.177和0.189，且25%、50%和75%历史下的平均MSE均高于全局权重。GÉANT对应两端的MSE为0.482和0.426，但50%历史下回升至0.506。误差未随历史量增加而稳定下降，模型排序也随条件变化。该结果仅用于描述历史长度敏感性，未据本组测试误差另选训练配置。</w:t>
      </w:r>
    </w:p>
    <w:p>
      <w:pPr>
        <w:pStyle w:val="Heading1"/>
      </w:pPr>
      <w:r>
        <w:t>四 连续测试时段评价</w:t>
      </w:r>
    </w:p>
    <w:p>
      <w:r>
        <w:t>测试小时索引从0开始。Abilene目标区间依次为[96,374)、[374,653)、[653,932)，保留255、256、256窗；GÉANT依次为[96,254)、[254,412)、[412,570)，各135窗。排除跨区间的24 h预测；每个时段均使用完整训练历史的同一检查点，不逐段重新训练。该设计是固定模型的分时段诊断，不是滚动重训或跨网络迁移。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691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037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数据集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时段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DLinear MSE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全局权重MSE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  <w:shd w:fill="E8EBED"/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本文MSE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0.036±0.001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0.036±0.001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0.032±0.001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T2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0.551±0.005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0.545±0.006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0.544±0.010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Abilene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0.024±0.001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0.024±0.001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0.019±0.001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T1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0.354±0.016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0.363±0.014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0.351±0.028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T2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0.393±0.016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0.403±0.015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0.392±0.030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GÉANT</w:t>
            </w:r>
          </w:p>
        </w:tc>
        <w:tc>
          <w:tcPr>
            <w:tcW w:type="dxa" w:w="691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T3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0.433±0.018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0.443±0.016</w:t>
            </w:r>
          </w:p>
        </w:tc>
        <w:tc>
          <w:tcPr>
            <w:tcW w:type="dxa" w:w="2016"/>
            <w:vAlign w:val="center"/>
            <w:tcMar>
              <w:top w:w="35" w:type="dxa"/>
              <w:bottom w:w="35" w:type="dxa"/>
              <w:left w:w="60" w:type="dxa"/>
              <w:right w:w="60" w:type="dxa"/>
            </w:tcMar>
            <w:tcBorders>
              <w:top w:val="single" w:sz="5" w:color="D9D9D9"/>
              <w:bottom w:val="single" w:sz="5" w:color="D9D9D9"/>
              <w:left w:val="single" w:sz="5" w:color="D9D9D9"/>
              <w:right w:val="single" w:sz="5" w:color="D9D9D9"/>
            </w:tcBorders>
          </w:tcPr>
          <w:p>
            <w:pPr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0.401±0.036</w:t>
            </w:r>
          </w:p>
        </w:tc>
      </w:tr>
    </w:tbl>
    <w:p/>
    <w:p>
      <w:r>
        <w:t>相对全局权重，本文方法在Abilene的T1、T2、T3平均MSE改进率分别为10.12%、0.19%、20.58%，在GÉANT上分别为2.99%、2.59%、9.31%。Abilene的T2仅5/8个种子改善；GÉANT前两段相对DLinear均仅4/8个种子改善。各段平均误差虽均较低，但收益幅度和训练重复间的一致性存在差异，不能据此宣称所有时段均具有稳定优势。</w:t>
      </w:r>
    </w:p>
    <w:p>
      <w:pPr>
        <w:pStyle w:val="Heading1"/>
      </w:pPr>
      <w:r>
        <w:t>五 论文修改及尚存边界</w:t>
      </w:r>
    </w:p>
    <w:p>
      <w:r>
        <w:t>在上一轮净稿基础上新增第2.6节、表6、图6及表7，原第2.6节顺延为2.7节；同步替换摘要、局限和结语中的相关表述。原稿与上一轮修订稿均保留。此次标红仅表示相对上一轮净稿的新增及替换段落；两份新稿正文完全相同。</w:t>
      </w:r>
    </w:p>
    <w:p>
      <w:r>
        <w:t>当前证据仍受观测时期较短、单一训练—验证—测试划分和有限基线范围约束。训练历史实验同时改变了观测量、时期覆盖和训练更新次数，未分离这些因素；测试分段也未重新训练模型，不属于滚动重训验证。GÉANT的种子波动及12 h负改进表明，当前融合策略的收益不具有普遍性，尚需进一步检验四维汇总统计量对窗口状态的区分能力。后续需要更长时期及不同业务网络的数据和滚动起点评价；实际使用还需测量原始量纲误差、单窗口端到端时延及链路容量决策收益。</w:t>
      </w:r>
    </w:p>
    <w:p>
      <w:r>
        <w:t>这些实验增加了数据量敏感性和测试期内稳定性的证据，没有增加独立网络、延长原始观测时期，也没有完成业务分层、拓扑变化、概念漂移适应或真实部署。不能据此宣称审稿人关于数据覆盖和实际应用的全部问题已解决。</w:t>
      </w:r>
    </w:p>
    <w:p>
      <w:pPr>
        <w:pStyle w:val="Heading1"/>
      </w:pPr>
      <w:r>
        <w:t>六 结果文件与复核</w:t>
      </w:r>
    </w:p>
    <w:p>
      <w:r>
        <w:t>完整结果位于abilene_forecasting/results/supplement_20261020。learning_curve_by_seed.csv保留192个条件；seasonal_by_seed.csv和temporal_by_seed.csv保存周期共同起点及分时段结果；对应summary和paired_effects文件保留均值、标准差及逐种子配对改进率。每个条件保存模型来源、检查点校验值、训练与预处理记录，以及逐窗口误差。新训练条件另存最佳检查点。</w:t>
      </w:r>
    </w:p>
    <w:p>
      <w:r>
        <w:t>新增训练程序与汇总程序独立保存，原模型及原训练程序未修改。协议测试核查了训练子集标准化、季节性预测无未来读取及跨时段目标不重叠。192个条件汇总时检查指标有限、逐窗口平均值一致，以及完整训练条件与既有预测一致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