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E800" w14:textId="77777777" w:rsidR="00B14FA3" w:rsidRPr="00B14FA3" w:rsidRDefault="00B14FA3" w:rsidP="00593DFC">
      <w:pPr>
        <w:spacing w:after="60"/>
        <w:ind w:firstLine="0"/>
        <w:jc w:val="center"/>
      </w:pPr>
      <w:bookmarkStart w:id="0" w:name="OLE_LINK1"/>
      <w:r w:rsidRPr="00B14FA3">
        <w:rPr>
          <w:rFonts w:eastAsia="黑体"/>
          <w:b/>
          <w:color w:val="000000"/>
          <w:sz w:val="36"/>
          <w:szCs w:val="36"/>
        </w:rPr>
        <w:t>基于自适应多尺度加权的多变量网络流量预测方法</w:t>
      </w:r>
    </w:p>
    <w:bookmarkEnd w:id="0"/>
    <w:p w14:paraId="5A5609DC" w14:textId="5CB208E7" w:rsidR="00B14FA3" w:rsidRPr="00B14FA3" w:rsidRDefault="00027F5B" w:rsidP="00593DFC">
      <w:pPr>
        <w:ind w:firstLine="0"/>
        <w:jc w:val="center"/>
      </w:pPr>
      <w:r>
        <w:rPr>
          <w:rFonts w:eastAsia="楷体" w:hint="eastAsia"/>
          <w:color w:val="000000"/>
          <w:szCs w:val="21"/>
        </w:rPr>
        <w:t>柯亚文</w:t>
      </w:r>
    </w:p>
    <w:p w14:paraId="31C5302A" w14:textId="010060C9" w:rsidR="00B14FA3" w:rsidRPr="00B14FA3" w:rsidRDefault="00B14FA3" w:rsidP="00593DFC">
      <w:pPr>
        <w:ind w:firstLine="0"/>
        <w:jc w:val="center"/>
      </w:pPr>
      <w:r w:rsidRPr="00B14FA3">
        <w:rPr>
          <w:rFonts w:eastAsia="楷体"/>
          <w:color w:val="000000"/>
          <w:sz w:val="18"/>
          <w:szCs w:val="18"/>
        </w:rPr>
        <w:t>（</w:t>
      </w:r>
      <w:r w:rsidR="00027F5B">
        <w:rPr>
          <w:rFonts w:eastAsia="楷体" w:hint="eastAsia"/>
          <w:color w:val="000000"/>
          <w:sz w:val="18"/>
          <w:szCs w:val="18"/>
        </w:rPr>
        <w:t>安徽财贸职业学院</w:t>
      </w:r>
      <w:r w:rsidR="00027F5B">
        <w:rPr>
          <w:rFonts w:eastAsia="楷体" w:hint="eastAsia"/>
          <w:color w:val="000000"/>
          <w:sz w:val="18"/>
          <w:szCs w:val="18"/>
        </w:rPr>
        <w:t xml:space="preserve"> </w:t>
      </w:r>
      <w:r w:rsidR="00027F5B">
        <w:rPr>
          <w:rFonts w:eastAsia="楷体" w:hint="eastAsia"/>
          <w:color w:val="000000"/>
          <w:sz w:val="18"/>
          <w:szCs w:val="18"/>
        </w:rPr>
        <w:t>信息工程学院</w:t>
      </w:r>
      <w:r w:rsidRPr="00B14FA3">
        <w:rPr>
          <w:rFonts w:eastAsia="楷体"/>
          <w:color w:val="000000"/>
          <w:sz w:val="18"/>
          <w:szCs w:val="18"/>
        </w:rPr>
        <w:t>，</w:t>
      </w:r>
      <w:r w:rsidR="00027F5B">
        <w:rPr>
          <w:rFonts w:eastAsia="楷体" w:hint="eastAsia"/>
          <w:color w:val="000000"/>
          <w:sz w:val="18"/>
          <w:szCs w:val="18"/>
        </w:rPr>
        <w:t>合肥</w:t>
      </w:r>
      <w:r w:rsidR="00027F5B">
        <w:rPr>
          <w:rFonts w:eastAsia="楷体" w:hint="eastAsia"/>
          <w:color w:val="000000"/>
          <w:sz w:val="18"/>
          <w:szCs w:val="18"/>
        </w:rPr>
        <w:t xml:space="preserve"> </w:t>
      </w:r>
      <w:bookmarkStart w:id="1" w:name="OLE_LINK2"/>
      <w:r w:rsidR="00027F5B">
        <w:rPr>
          <w:rFonts w:eastAsia="楷体" w:hint="eastAsia"/>
          <w:color w:val="000000"/>
          <w:sz w:val="18"/>
          <w:szCs w:val="18"/>
        </w:rPr>
        <w:t>231200</w:t>
      </w:r>
      <w:bookmarkEnd w:id="1"/>
      <w:r w:rsidRPr="00B14FA3">
        <w:rPr>
          <w:rFonts w:eastAsia="楷体"/>
          <w:color w:val="000000"/>
          <w:sz w:val="18"/>
          <w:szCs w:val="18"/>
        </w:rPr>
        <w:t>）</w:t>
      </w:r>
    </w:p>
    <w:p w14:paraId="74D57CAB" w14:textId="67EA40D9" w:rsidR="00B14FA3" w:rsidRPr="00B14FA3" w:rsidRDefault="00B14FA3" w:rsidP="00593DFC">
      <w:r>
        <w:rPr>
          <w:rFonts w:ascii="Times New Roman" w:hAnsi="Times New Roman" w:eastAsia="宋体"/>
          <w:color w:val="000000"/>
          <w:sz w:val="21"/>
          <w:szCs w:val="21"/>
        </w:rPr>
        <w:t xml:space="preserve">摘要：针对小时级骨干网流量中短时波动与较慢趋势并存的问题，提出基于自适应多尺度加权的预测方法。模型以三个独立分解线性专家处理不同时间分辨率的历史序列，根据窗口的四项统计量计算尺度权重，并对各尺度预测加权融合。在Abilene和GÉANT上，使用96 h历史预测未来24 h；八随机种子实验中，相对单尺度DLinear的平均均方误差降幅分别为2.77%和2.35%。模型共8339个参数，其中路由网络含131个参数。补充的12 h预测中，相对全局可学习权重，Abilene平均改进15.97%，GÉANT平均改进率为−1.17%。结果表明，输入相关的尺度融合在部分设置下可降低平均误差，但优势依赖数据集和预测长度。现有结果限于两套历史骨干网数据上的离线评价，实际部署效果仍需验证。</w:t>
      </w:r>
    </w:p>
    <w:p w14:paraId="3D1C9BEA" w14:textId="77777777" w:rsidR="00B14FA3" w:rsidRPr="00B14FA3" w:rsidRDefault="00B14FA3" w:rsidP="00593DFC">
      <w:pPr>
        <w:ind w:firstLine="0"/>
      </w:pPr>
      <w:r>
        <w:rPr>
          <w:b/>
          <w:color w:val="000000"/>
          <w:szCs w:val="21"/>
        </w:rPr>
        <w:t>关键词：</w:t>
      </w:r>
      <w:r>
        <w:rPr>
          <w:color w:val="000000"/>
          <w:szCs w:val="21"/>
        </w:rPr>
        <w:t>网络流量预测；多变量时间序列；多尺度学习；自适应加权；分解线性模型</w:t>
      </w:r>
    </w:p>
    <w:p w14:paraId="0D963A26" w14:textId="77777777" w:rsidR="00B14FA3" w:rsidRPr="00B14FA3" w:rsidRDefault="00B14FA3" w:rsidP="00593DFC">
      <w:pPr>
        <w:ind w:firstLine="0"/>
      </w:pPr>
      <w:r w:rsidRPr="00B14FA3">
        <w:rPr>
          <w:b/>
          <w:color w:val="000000"/>
          <w:szCs w:val="21"/>
        </w:rPr>
        <w:t>中图分类号：</w:t>
      </w:r>
      <w:r w:rsidRPr="00B14FA3">
        <w:rPr>
          <w:color w:val="000000"/>
          <w:szCs w:val="21"/>
        </w:rPr>
        <w:t>TP393</w:t>
      </w:r>
      <w:r w:rsidRPr="00B14FA3">
        <w:rPr>
          <w:color w:val="000000"/>
          <w:szCs w:val="21"/>
        </w:rPr>
        <w:t xml:space="preserve">　　</w:t>
      </w:r>
      <w:r w:rsidRPr="00B14FA3">
        <w:rPr>
          <w:b/>
          <w:color w:val="000000"/>
          <w:szCs w:val="21"/>
        </w:rPr>
        <w:t>文献标志码：</w:t>
      </w:r>
      <w:r w:rsidRPr="00B14FA3">
        <w:rPr>
          <w:color w:val="000000"/>
          <w:szCs w:val="21"/>
        </w:rPr>
        <w:t>A</w:t>
      </w:r>
    </w:p>
    <w:p w14:paraId="57418AFC" w14:textId="77777777" w:rsidR="00B14FA3" w:rsidRPr="00B14FA3" w:rsidRDefault="00B14FA3" w:rsidP="00593DFC">
      <w:pPr>
        <w:spacing w:after="60"/>
        <w:ind w:firstLine="0"/>
        <w:jc w:val="center"/>
      </w:pPr>
      <w:r w:rsidRPr="00B14FA3">
        <w:rPr>
          <w:b/>
          <w:color w:val="000000"/>
          <w:sz w:val="28"/>
          <w:szCs w:val="28"/>
        </w:rPr>
        <w:t>A Multivariate Network Traffic Forecasting Method Based on Adaptive Multiscale Weighting</w:t>
      </w:r>
    </w:p>
    <w:p w14:paraId="087DD4D2" w14:textId="4D3053D6" w:rsidR="00B14FA3" w:rsidRPr="00B14FA3" w:rsidRDefault="000E0B0B" w:rsidP="00593DFC">
      <w:pPr>
        <w:ind w:firstLine="0"/>
        <w:jc w:val="center"/>
      </w:pPr>
      <w:r>
        <w:rPr>
          <w:rFonts w:eastAsia="楷体" w:hint="eastAsia"/>
          <w:color w:val="000000"/>
          <w:szCs w:val="21"/>
        </w:rPr>
        <w:t>KE Yawen</w:t>
      </w:r>
    </w:p>
    <w:p w14:paraId="5E5A25A6" w14:textId="0F738607" w:rsidR="00B14FA3" w:rsidRPr="00B14FA3" w:rsidRDefault="00B14FA3" w:rsidP="00593DFC">
      <w:pPr>
        <w:jc w:val="center"/>
      </w:pPr>
      <w:r w:rsidRPr="00B14FA3">
        <w:rPr>
          <w:rFonts w:eastAsia="楷体"/>
          <w:color w:val="000000"/>
          <w:sz w:val="18"/>
          <w:szCs w:val="18"/>
        </w:rPr>
        <w:t>(</w:t>
      </w:r>
      <w:r w:rsidR="002F7432" w:rsidRPr="002F7432">
        <w:rPr>
          <w:rFonts w:eastAsia="楷体"/>
          <w:color w:val="000000"/>
          <w:sz w:val="18"/>
          <w:szCs w:val="18"/>
        </w:rPr>
        <w:t>School of Information Engineering</w:t>
      </w:r>
      <w:r w:rsidR="002F7432">
        <w:rPr>
          <w:rFonts w:eastAsia="楷体" w:hint="eastAsia"/>
          <w:color w:val="000000"/>
          <w:sz w:val="18"/>
          <w:szCs w:val="18"/>
        </w:rPr>
        <w:t xml:space="preserve">, </w:t>
      </w:r>
      <w:r w:rsidR="000E0B0B" w:rsidRPr="000E0B0B">
        <w:rPr>
          <w:rFonts w:eastAsia="楷体"/>
          <w:color w:val="000000"/>
          <w:sz w:val="18"/>
          <w:szCs w:val="18"/>
        </w:rPr>
        <w:t>Anhui Finance &amp; Trade Vocational College</w:t>
      </w:r>
      <w:r w:rsidRPr="00B14FA3">
        <w:rPr>
          <w:rFonts w:eastAsia="楷体"/>
          <w:color w:val="000000"/>
          <w:sz w:val="18"/>
          <w:szCs w:val="18"/>
        </w:rPr>
        <w:t xml:space="preserve">, </w:t>
      </w:r>
      <w:r w:rsidR="000E0B0B">
        <w:rPr>
          <w:rFonts w:eastAsia="楷体" w:hint="eastAsia"/>
          <w:color w:val="000000"/>
          <w:sz w:val="18"/>
          <w:szCs w:val="18"/>
        </w:rPr>
        <w:t>Hefei</w:t>
      </w:r>
      <w:r w:rsidRPr="00B14FA3">
        <w:rPr>
          <w:rFonts w:eastAsia="楷体"/>
          <w:color w:val="000000"/>
          <w:sz w:val="18"/>
          <w:szCs w:val="18"/>
        </w:rPr>
        <w:t xml:space="preserve"> </w:t>
      </w:r>
      <w:r w:rsidR="000E0B0B">
        <w:rPr>
          <w:rFonts w:eastAsia="楷体" w:hint="eastAsia"/>
          <w:color w:val="000000"/>
          <w:sz w:val="18"/>
          <w:szCs w:val="18"/>
        </w:rPr>
        <w:t>231200</w:t>
      </w:r>
      <w:r w:rsidRPr="00B14FA3">
        <w:rPr>
          <w:rFonts w:eastAsia="楷体"/>
          <w:color w:val="000000"/>
          <w:sz w:val="18"/>
          <w:szCs w:val="18"/>
        </w:rPr>
        <w:t>, China)</w:t>
      </w:r>
    </w:p>
    <w:p w14:paraId="43633556" w14:textId="19F42D7A" w:rsidR="00B14FA3" w:rsidRPr="00D65728" w:rsidRDefault="00B14FA3" w:rsidP="00593DFC">
      <w:pPr>
        <w:rPr>
          <w:color w:val="000000"/>
          <w:szCs w:val="21"/>
        </w:rPr>
      </w:pPr>
      <w:r>
        <w:rPr>
          <w:rFonts w:ascii="Times New Roman" w:hAnsi="Times New Roman" w:eastAsia="宋体"/>
          <w:color w:val="000000"/>
          <w:sz w:val="21"/>
          <w:szCs w:val="21"/>
        </w:rPr>
        <w:t xml:space="preserve">Abstract: An adaptive multiscale weighting method is proposed for hourly backbone network traffic forecasting, where short-term fluctuations coexist with slower trends. Three independent decomposition linear experts process historical sequences at different temporal resolutions. A routing network computes scale weights from four window statistics and combines the candidate forecasts. Experiments on Abilene and GÉANT use 96 hours of history to predict the next 24 hours. Across eight random seeds, the mean seed-wise reductions in mean squared error relative to single-scale DLinear are 2.77% and 2.35%, respectively. The model has 8,339 parameters, including 131 routing parameters. In additional 12-hour forecasting experiments, the mean improvement over learned global weights is 15.97% on Abilene and −1.17% on GÉANT. These results show that input-dependent scale fusion can reduce mean errors in some settings, but its benefit depends on the dataset and forecast horizon. The evidence is limited to offline evaluation on two historical backbone network datasets; deployment performance requires further validation.</w:t>
      </w:r>
    </w:p>
    <w:p w14:paraId="5001EA86" w14:textId="77777777" w:rsidR="00B14FA3" w:rsidRPr="00B14FA3" w:rsidRDefault="00B14FA3" w:rsidP="00593DFC">
      <w:pPr>
        <w:ind w:firstLine="0"/>
      </w:pPr>
      <w:r>
        <w:rPr>
          <w:b/>
          <w:color w:val="000000"/>
          <w:szCs w:val="21"/>
        </w:rPr>
        <w:t xml:space="preserve">Key words: </w:t>
      </w:r>
      <w:r>
        <w:rPr>
          <w:color w:val="000000"/>
          <w:szCs w:val="21"/>
        </w:rPr>
        <w:t>network traffic forecasting; multivariate time series; multiscale learning; adaptive weighting; decomposition linear model</w:t>
      </w:r>
    </w:p>
    <w:p w14:paraId="2CDB96E7" w14:textId="17D58AFD" w:rsidR="00B14FA3" w:rsidRPr="00B14FA3" w:rsidRDefault="00B14FA3" w:rsidP="00593DFC">
      <w:pPr>
        <w:rPr>
          <w:color w:val="000000"/>
        </w:rPr>
      </w:pPr>
      <w:r>
        <w:rPr>
          <w:rFonts w:ascii="Times New Roman" w:hAnsi="Times New Roman" w:eastAsia="宋体"/>
          <w:color w:val="000000"/>
          <w:sz w:val="21"/>
          <w:szCs w:val="21"/>
        </w:rPr>
        <w:t xml:space="preserve">骨干网容量规划需要估计源—目的节点对（origin-destination，OD）未来的通信需求。本文研究根据过去96 h的OD流量预测未来24 h逐小时需求的问题。不同OD变量的量级和变化规律存在差异，同一序列中又常同时出现短时波动与较慢趋势。因此，模型既要保留局部变化，也要利用时间聚合后的趋势信息，并控制多尺度处理带来的额外开销。</w:t>
      </w:r>
    </w:p>
    <w:p w14:paraId="7F38D516" w14:textId="5572BE45" w:rsidR="00B14FA3" w:rsidRPr="00B14FA3" w:rsidRDefault="00B14FA3" w:rsidP="00593DFC">
      <w:pPr>
        <w:rPr>
          <w:color w:val="000000"/>
        </w:rPr>
      </w:pPr>
      <w:r>
        <w:rPr>
          <w:rFonts w:ascii="Times New Roman" w:hAnsi="Times New Roman" w:eastAsia="宋体"/>
          <w:color w:val="000000"/>
          <w:sz w:val="21"/>
          <w:szCs w:val="21"/>
        </w:rPr>
        <w:t xml:space="preserve">现有研究从时间依赖、变量关联和周期结构等角度处理网络流量预测问题。Lohrasbinasab等</w:t>
      </w:r>
      <w:r>
        <w:rPr>
          <w:rFonts w:ascii="Times New Roman" w:hAnsi="Times New Roman" w:eastAsia="宋体"/>
          <w:color w:val="000000"/>
          <w:sz w:val="21"/>
          <w:szCs w:val="21"/>
          <w:vertAlign w:val="superscript"/>
        </w:rPr>
        <w:t xml:space="preserve">[1]</w:t>
      </w:r>
      <w:r>
        <w:rPr>
          <w:rFonts w:ascii="Times New Roman" w:hAnsi="Times New Roman" w:eastAsia="宋体"/>
          <w:color w:val="000000"/>
          <w:sz w:val="21"/>
          <w:szCs w:val="21"/>
        </w:rPr>
        <w:t xml:space="preserve">综述了统计方法与机器学习方法的发展；Qin等</w:t>
      </w:r>
      <w:r>
        <w:rPr>
          <w:rFonts w:ascii="Times New Roman" w:hAnsi="Times New Roman" w:eastAsia="宋体"/>
          <w:color w:val="000000"/>
          <w:sz w:val="21"/>
          <w:szCs w:val="21"/>
          <w:vertAlign w:val="superscript"/>
        </w:rPr>
        <w:t xml:space="preserve">[2]</w:t>
      </w:r>
      <w:r>
        <w:rPr>
          <w:rFonts w:ascii="Times New Roman" w:hAnsi="Times New Roman" w:eastAsia="宋体"/>
          <w:color w:val="000000"/>
          <w:sz w:val="21"/>
          <w:szCs w:val="21"/>
        </w:rPr>
        <w:t xml:space="preserve">采用图神经网络建模空间关联与时间依赖；韦烜等</w:t>
      </w:r>
      <w:r>
        <w:rPr>
          <w:rFonts w:ascii="Times New Roman" w:hAnsi="Times New Roman" w:eastAsia="宋体"/>
          <w:color w:val="000000"/>
          <w:sz w:val="21"/>
          <w:szCs w:val="21"/>
          <w:vertAlign w:val="superscript"/>
        </w:rPr>
        <w:t xml:space="preserve">[3]</w:t>
      </w:r>
      <w:r>
        <w:rPr>
          <w:rFonts w:ascii="Times New Roman" w:hAnsi="Times New Roman" w:eastAsia="宋体"/>
          <w:color w:val="000000"/>
          <w:sz w:val="21"/>
          <w:szCs w:val="21"/>
        </w:rPr>
        <w:t xml:space="preserve">分析大型网际协议（Internet protocol，IP）网络流量矩阵的变量关联和时间变化；唐文杰等</w:t>
      </w:r>
      <w:r>
        <w:rPr>
          <w:rFonts w:ascii="Times New Roman" w:hAnsi="Times New Roman" w:eastAsia="宋体"/>
          <w:color w:val="000000"/>
          <w:sz w:val="21"/>
          <w:szCs w:val="21"/>
          <w:vertAlign w:val="superscript"/>
        </w:rPr>
        <w:t xml:space="preserve">[4]</w:t>
      </w:r>
      <w:r>
        <w:rPr>
          <w:rFonts w:ascii="Times New Roman" w:hAnsi="Times New Roman" w:eastAsia="宋体"/>
          <w:color w:val="000000"/>
          <w:sz w:val="21"/>
          <w:szCs w:val="21"/>
        </w:rPr>
        <w:t xml:space="preserve">在CycleLLH中引入周期性信息。这些研究说明，多变量流量预测需要根据任务选择时间结构与变量关系的建模方式。</w:t>
      </w:r>
    </w:p>
    <w:p w14:paraId="42539D89" w14:textId="0D154D3C" w:rsidR="00B14FA3" w:rsidRPr="00B14FA3" w:rsidRDefault="00BD323E" w:rsidP="00593DFC">
      <w:pPr>
        <w:rPr>
          <w:color w:val="000000"/>
        </w:rPr>
      </w:pPr>
      <w:r>
        <w:rPr>
          <w:rFonts w:ascii="Times New Roman" w:hAnsi="Times New Roman" w:eastAsia="宋体"/>
          <w:color w:val="000000"/>
          <w:sz w:val="21"/>
          <w:szCs w:val="21"/>
        </w:rPr>
        <w:t xml:space="preserve">多尺度方法通过不同时间分辨率描述流量变化。Zhou等</w:t>
      </w:r>
      <w:r>
        <w:rPr>
          <w:rFonts w:ascii="Times New Roman" w:hAnsi="Times New Roman" w:eastAsia="宋体"/>
          <w:color w:val="000000"/>
          <w:sz w:val="21"/>
          <w:szCs w:val="21"/>
          <w:vertAlign w:val="superscript"/>
        </w:rPr>
        <w:t xml:space="preserve">[5]</w:t>
      </w:r>
      <w:r>
        <w:rPr>
          <w:rFonts w:ascii="Times New Roman" w:hAnsi="Times New Roman" w:eastAsia="宋体"/>
          <w:color w:val="000000"/>
          <w:sz w:val="21"/>
          <w:szCs w:val="21"/>
        </w:rPr>
        <w:t xml:space="preserve">采用深度回声状态网络进行多尺度流量预测。在轻量预测方法中，分解线性模型（decomposition linear model，DLinear）</w:t>
      </w:r>
      <w:r>
        <w:rPr>
          <w:rFonts w:ascii="Times New Roman" w:hAnsi="Times New Roman" w:eastAsia="宋体"/>
          <w:color w:val="000000"/>
          <w:sz w:val="21"/>
          <w:szCs w:val="21"/>
          <w:vertAlign w:val="superscript"/>
        </w:rPr>
        <w:t xml:space="preserve">[6]</w:t>
      </w:r>
      <w:r>
        <w:rPr>
          <w:rFonts w:ascii="Times New Roman" w:hAnsi="Times New Roman" w:eastAsia="宋体"/>
          <w:color w:val="000000"/>
          <w:sz w:val="21"/>
          <w:szCs w:val="21"/>
        </w:rPr>
        <w:t xml:space="preserve">利用序列分解和线性映射生成预测，TimeMixer</w:t>
      </w:r>
      <w:r>
        <w:rPr>
          <w:rFonts w:ascii="Times New Roman" w:hAnsi="Times New Roman" w:eastAsia="宋体"/>
          <w:color w:val="000000"/>
          <w:sz w:val="21"/>
          <w:szCs w:val="21"/>
          <w:vertAlign w:val="superscript"/>
        </w:rPr>
        <w:t xml:space="preserve">[7]</w:t>
      </w:r>
      <w:r>
        <w:rPr>
          <w:rFonts w:ascii="Times New Roman" w:hAnsi="Times New Roman" w:eastAsia="宋体"/>
          <w:color w:val="000000"/>
          <w:sz w:val="21"/>
          <w:szCs w:val="21"/>
        </w:rPr>
        <w:t xml:space="preserve">通过多尺度混合组织时间信息，LightTS</w:t>
      </w:r>
      <w:r>
        <w:rPr>
          <w:rFonts w:ascii="Times New Roman" w:hAnsi="Times New Roman" w:eastAsia="宋体"/>
          <w:color w:val="000000"/>
          <w:sz w:val="21"/>
          <w:szCs w:val="21"/>
          <w:vertAlign w:val="superscript"/>
        </w:rPr>
        <w:t xml:space="preserve">[8]</w:t>
      </w:r>
      <w:r>
        <w:rPr>
          <w:rFonts w:ascii="Times New Roman" w:hAnsi="Times New Roman" w:eastAsia="宋体"/>
          <w:color w:val="000000"/>
          <w:sz w:val="21"/>
          <w:szCs w:val="21"/>
        </w:rPr>
        <w:t xml:space="preserve">采用采样导向的多层感知器（multilayer perceptron，MLP）。本文沿用DLinear作为尺度专家，将研究重点放在不同尺度预测的融合方式上。</w:t>
      </w:r>
    </w:p>
    <w:p w14:paraId="526A74AA" w14:textId="06B6E35B" w:rsidR="003F55FC" w:rsidRDefault="00833E9D" w:rsidP="00593DFC">
      <w:pPr>
        <w:rPr>
          <w:color w:val="000000"/>
          <w:szCs w:val="21"/>
        </w:rPr>
      </w:pPr>
      <w:r>
        <w:rPr>
          <w:rFonts w:ascii="Times New Roman" w:hAnsi="Times New Roman" w:eastAsia="宋体"/>
          <w:color w:val="000000"/>
          <w:sz w:val="21"/>
          <w:szCs w:val="21"/>
        </w:rPr>
        <w:t xml:space="preserve">在专家结构相同、参数相互独立的条件下，固定融合权重无法随当前窗口调整各尺度的贡献。本文考察以低维窗口统计量驱动尺度权重，能否在有限参数增量下获得优于固定融合的预测误差。这里的自适应针对尺度，所有OD变量在同一窗口内共用一组权重；模型不显式学习逐变量权重或网络拓扑关系。</w:t>
      </w:r>
    </w:p>
    <w:p w14:paraId="449406FB" w14:textId="7D78990E" w:rsidR="00917D78" w:rsidRDefault="00833E9D" w:rsidP="00593DFC">
      <w:r>
        <w:rPr>
          <w:rFonts w:ascii="Times New Roman" w:hAnsi="Times New Roman" w:eastAsia="宋体"/>
          <w:color w:val="000000"/>
          <w:sz w:val="21"/>
          <w:szCs w:val="21"/>
        </w:rPr>
        <w:t xml:space="preserve">为检验这一问题，本文设置尺度1、2和4的独立DLinear专家，并以四维统计特征驱动尺度路由网络。在Abilene和GÉANT上分别训练和测试，通过固定等权、全局可学习权重及恒定输入路由对照区分不同融合方式的作用，进一步比较12 h与24 h预测结果，并分析计算开销和适用边界。</w:t>
      </w:r>
    </w:p>
    <w:p w14:paraId="7DDC9ECD" w14:textId="77777777" w:rsidR="00B14FA3" w:rsidRPr="00B14FA3" w:rsidRDefault="00B14FA3" w:rsidP="00593DFC">
      <w:pPr>
        <w:widowControl/>
        <w:spacing w:before="120" w:after="40"/>
        <w:ind w:firstLine="0"/>
        <w:jc w:val="left"/>
        <w:outlineLvl w:val="0"/>
        <w:rPr>
          <w:rFonts w:eastAsia="黑体"/>
          <w:b/>
          <w:kern w:val="0"/>
          <w:sz w:val="28"/>
          <w:szCs w:val="20"/>
        </w:rPr>
      </w:pPr>
      <w:r w:rsidRPr="00B14FA3">
        <w:rPr>
          <w:rFonts w:eastAsia="黑体"/>
          <w:b/>
          <w:color w:val="000000"/>
          <w:kern w:val="0"/>
          <w:sz w:val="24"/>
        </w:rPr>
        <w:t xml:space="preserve">1 </w:t>
      </w:r>
      <w:r w:rsidRPr="00B14FA3">
        <w:rPr>
          <w:rFonts w:eastAsia="黑体"/>
          <w:b/>
          <w:color w:val="000000"/>
          <w:kern w:val="0"/>
          <w:sz w:val="24"/>
        </w:rPr>
        <w:t>自适应多尺度网络流量预测方法</w:t>
      </w:r>
    </w:p>
    <w:p w14:paraId="13C51397" w14:textId="77777777" w:rsidR="00B14FA3" w:rsidRPr="00B14FA3" w:rsidRDefault="00B14FA3" w:rsidP="00593DFC">
      <w:r>
        <w:rPr>
          <w:rFonts w:ascii="Times New Roman" w:hAnsi="Times New Roman" w:eastAsia="宋体"/>
          <w:color w:val="000000"/>
          <w:sz w:val="21"/>
          <w:szCs w:val="21"/>
        </w:rPr>
        <w:t xml:space="preserve">图1给出模型的预测分支与路由分支。历史OD窗口经对数变换和标准化后，构造三个时间尺度的输入；各DLinear专家分别预测趋势项与余项，并将二者相加，得到相同预测长度的候选结果。路由网络从预处理窗口提取四项统计量，经Softmax生成尺度权重，最终对候选预测加权求和。图中曲线和色块仅作示意。</w:t>
      </w:r>
    </w:p>
    <w:p w14:paraId="0A8D37BD" w14:textId="2DDA05E9" w:rsidR="00B14FA3" w:rsidRPr="00B14FA3" w:rsidRDefault="00D90B88" w:rsidP="00593DFC">
      <w:pPr>
        <w:spacing w:before="60"/>
        <w:ind w:firstLine="0"/>
        <w:jc w:val="center"/>
      </w:pPr>
      <w:r w:rsidRPr="00D90B88">
        <w:rPr>
          <w:noProof/>
          <w:color w:val="000000"/>
          <w:szCs w:val="21"/>
        </w:rPr>
        <w:drawing>
          <wp:inline distT="0" distB="0" distL="0" distR="0" wp14:anchorId="39CA5764" wp14:editId="04EA5C0D">
            <wp:extent cx="6120130" cy="3194685"/>
            <wp:effectExtent l="0" t="0" r="0" b="5715"/>
            <wp:docPr id="41586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5665" name=""/>
                    <pic:cNvPicPr/>
                  </pic:nvPicPr>
                  <pic:blipFill>
                    <a:blip r:embed="rId6"/>
                    <a:stretch>
                      <a:fillRect/>
                    </a:stretch>
                  </pic:blipFill>
                  <pic:spPr>
                    <a:xfrm>
                      <a:off x="0" y="0"/>
                      <a:ext cx="6120130" cy="3194685"/>
                    </a:xfrm>
                    <a:prstGeom prst="rect">
                      <a:avLst/>
                    </a:prstGeom>
                  </pic:spPr>
                </pic:pic>
              </a:graphicData>
            </a:graphic>
          </wp:inline>
        </w:drawing>
      </w:r>
    </w:p>
    <w:p w14:paraId="66A003C2"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1 </w:t>
      </w:r>
      <w:r>
        <w:rPr>
          <w:rFonts w:eastAsia="黑体"/>
          <w:b/>
          <w:color w:val="000000"/>
          <w:sz w:val="18"/>
          <w:szCs w:val="18"/>
        </w:rPr>
        <w:t>自适应多尺度预测框架</w:t>
      </w:r>
    </w:p>
    <w:p w14:paraId="103EE6F7" w14:textId="7AA10292" w:rsidR="00C334D8" w:rsidRPr="00C334D8" w:rsidRDefault="005F6077" w:rsidP="00593DFC">
      <w:pPr>
        <w:widowControl/>
        <w:rPr>
          <w:color w:val="000000"/>
          <w:szCs w:val="21"/>
        </w:rPr>
      </w:pPr>
      <w:r>
        <w:rPr>
          <w:rFonts w:ascii="Times New Roman" w:hAnsi="Times New Roman" w:eastAsia="宋体"/>
          <w:color w:val="000000"/>
          <w:sz w:val="21"/>
          <w:szCs w:val="21"/>
        </w:rPr>
        <w:t xml:space="preserve">三个专家结构相同、参数独立。细尺度保留局部变化，粗尺度通过时间聚合平滑短时波动；尺度权重决定这些候选预测在最终输出中的相对贡献。</w:t>
      </w:r>
    </w:p>
    <w:p w14:paraId="2609C288" w14:textId="582F480D" w:rsidR="00917D78" w:rsidRDefault="00917D78" w:rsidP="00593DFC"/>
    <w:p w14:paraId="5F789061"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1.1 </w:t>
      </w:r>
      <w:r w:rsidRPr="00B14FA3">
        <w:rPr>
          <w:rFonts w:eastAsia="黑体"/>
          <w:b/>
          <w:bCs/>
          <w:color w:val="000000"/>
          <w:szCs w:val="21"/>
        </w:rPr>
        <w:t>预测任务与数据预处理</w:t>
      </w:r>
    </w:p>
    <w:p w14:paraId="2F47C330" w14:textId="0F2A855B" w:rsidR="00B14FA3" w:rsidRPr="00B14FA3" w:rsidRDefault="00B14FA3" w:rsidP="00593DFC">
      <w:pPr>
        <w:widowControl/>
      </w:pPr>
      <w:r>
        <w:rPr>
          <w:color w:val="000000"/>
          <w:szCs w:val="21"/>
        </w:rPr>
        <w:t>记预处理后的多变量流量序列为</w:t>
      </w:r>
      <w:r>
        <w:rPr>
          <w:color w:val="000000"/>
          <w:szCs w:val="21"/>
        </w:rP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w:r>
        <w:rPr>
          <w:color w:val="000000"/>
          <w:szCs w:val="21"/>
        </w:rPr>
        <w:t>，其中</w:t>
      </w:r>
      <w:r>
        <w:rPr>
          <w:i/>
          <w:color w:val="000000"/>
          <w:szCs w:val="21"/>
        </w:rPr>
        <w:t>t</w:t>
      </w:r>
      <w:r>
        <w:rPr>
          <w:color w:val="000000"/>
          <w:szCs w:val="21"/>
        </w:rPr>
        <w:t>为时间索引，</w:t>
      </w:r>
      <w:r>
        <w:rPr>
          <w:i/>
          <w:color w:val="000000"/>
          <w:szCs w:val="21"/>
        </w:rPr>
        <w:t>C</w:t>
      </w:r>
      <w:r>
        <w:rPr>
          <w:color w:val="000000"/>
          <w:szCs w:val="21"/>
        </w:rPr>
        <w:t>为有效</w:t>
      </w:r>
      <w:r>
        <w:rPr>
          <w:color w:val="000000"/>
          <w:szCs w:val="21"/>
        </w:rPr>
        <w:t>OD</w:t>
      </w:r>
      <w:r>
        <w:rPr>
          <w:color w:val="000000"/>
          <w:szCs w:val="21"/>
        </w:rPr>
        <w:t>变量数。监督学习样本由连续序列沿时间轴生成的滑动窗口构成；第</w:t>
      </w:r>
      <w:r>
        <w:rPr>
          <w:i/>
          <w:color w:val="000000"/>
          <w:szCs w:val="21"/>
        </w:rPr>
        <w:t>n</w:t>
      </w:r>
      <w:r>
        <w:rPr>
          <w:color w:val="000000"/>
          <w:szCs w:val="21"/>
        </w:rPr>
        <w:t>个样本由历史窗口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及预测目标</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组成：</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覆盖连续</w:t>
      </w:r>
      <w:r>
        <w:rPr>
          <w:i/>
          <w:color w:val="000000"/>
          <w:szCs w:val="21"/>
        </w:rPr>
        <w:t>L</w:t>
      </w:r>
      <w:r>
        <w:rPr>
          <w:color w:val="000000"/>
          <w:szCs w:val="21"/>
        </w:rPr>
        <w:t>个时间点，</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覆盖其后连续的</w:t>
      </w:r>
      <w:r>
        <w:rPr>
          <w:i/>
          <w:color w:val="000000"/>
          <w:szCs w:val="21"/>
        </w:rPr>
        <w:t>H</w:t>
      </w:r>
      <w:r>
        <w:rPr>
          <w:color w:val="000000"/>
          <w:szCs w:val="21"/>
        </w:rPr>
        <w:t>个时间点。向量按时间顺序逐行堆叠，矩阵行对应时间点，列对应</w:t>
      </w:r>
      <w:r>
        <w:rPr>
          <w:color w:val="000000"/>
          <w:szCs w:val="21"/>
        </w:rPr>
        <w:t>OD</w:t>
      </w:r>
      <w:r>
        <w:rPr>
          <w:color w:val="000000"/>
          <w:szCs w:val="21"/>
        </w:rPr>
        <w:t>变量。第</w:t>
      </w:r>
      <w:r>
        <w:rPr>
          <w:i/>
          <w:color w:val="000000"/>
          <w:szCs w:val="21"/>
        </w:rPr>
        <w:t>n</w:t>
      </w:r>
      <w:r>
        <w:rPr>
          <w:color w:val="000000"/>
          <w:szCs w:val="21"/>
        </w:rPr>
        <w:t>个样本的输入与目标表示为：</w:t>
      </w:r>
    </w:p>
    <w:p w14:paraId="6F17DC21"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14:paraId="150EB697" w14:textId="4DDC5223" w:rsidR="00B14FA3" w:rsidRPr="00B14FA3" w:rsidRDefault="00B34D42" w:rsidP="00593DFC">
      <w:pPr>
        <w:widowControl/>
      </w:pPr>
      <w:r w:rsidRPr="00B34D42">
        <w:rPr>
          <w:color w:val="000000"/>
          <w:szCs w:val="21"/>
        </w:rPr>
        <w:t>取输入窗口长度</w:t>
      </w:r>
      <w:r w:rsidR="00B14FA3">
        <w:rPr>
          <w:i/>
          <w:color w:val="000000"/>
          <w:szCs w:val="21"/>
        </w:rPr>
        <w:t>L</w:t>
      </w:r>
      <w:r w:rsidR="00B14FA3">
        <w:rPr>
          <w:color w:val="000000"/>
          <w:szCs w:val="21"/>
        </w:rPr>
        <w:t>=96</w:t>
      </w:r>
      <w:r w:rsidR="00B14FA3">
        <w:rPr>
          <w:color w:val="000000"/>
          <w:szCs w:val="21"/>
        </w:rPr>
        <w:t>、</w:t>
      </w:r>
      <w:r w:rsidRPr="00B34D42">
        <w:rPr>
          <w:color w:val="000000"/>
          <w:szCs w:val="21"/>
        </w:rPr>
        <w:t>预测长度</w:t>
      </w:r>
      <w:r w:rsidRPr="00B34D42">
        <w:rPr>
          <w:i/>
          <w:color w:val="000000"/>
          <w:szCs w:val="21"/>
        </w:rPr>
        <w:t>H</w:t>
      </w:r>
      <w:r w:rsidRPr="00B34D42">
        <w:rPr>
          <w:color w:val="000000"/>
          <w:szCs w:val="21"/>
        </w:rPr>
        <w:t>=24</w:t>
      </w:r>
      <w:r w:rsidR="00B14FA3">
        <w:rPr>
          <w:color w:val="000000"/>
          <w:szCs w:val="21"/>
        </w:rPr>
        <w:t>，数据中保留的有效</w:t>
      </w:r>
      <w:r w:rsidR="00B14FA3">
        <w:rPr>
          <w:color w:val="000000"/>
          <w:szCs w:val="21"/>
        </w:rPr>
        <w:t>OD</w:t>
      </w:r>
      <w:r w:rsidR="00B14FA3">
        <w:rPr>
          <w:color w:val="000000"/>
          <w:szCs w:val="21"/>
        </w:rPr>
        <w:t>维度数</w:t>
      </w:r>
      <w:r w:rsidRPr="00B34D42">
        <w:rPr>
          <w:color w:val="000000"/>
          <w:szCs w:val="21"/>
        </w:rPr>
        <w:t>记为</w:t>
      </w:r>
      <w:r w:rsidR="00B14FA3">
        <w:rPr>
          <w:i/>
          <w:color w:val="000000"/>
          <w:szCs w:val="21"/>
        </w:rPr>
        <w:t>C</w:t>
      </w:r>
      <w:r w:rsidR="00B14FA3">
        <w:rPr>
          <w:color w:val="000000"/>
          <w:szCs w:val="21"/>
        </w:rPr>
        <w:t>。</w:t>
      </w:r>
      <w:r w:rsidRPr="00B34D42">
        <w:rPr>
          <w:color w:val="000000"/>
          <w:szCs w:val="21"/>
        </w:rPr>
        <w:t>由此，</w:t>
      </w:r>
      <w:r w:rsidR="00B14FA3">
        <w:rPr>
          <w:color w:val="000000"/>
          <w:szCs w:val="21"/>
        </w:rPr>
        <w:t>历史信息到未来流量的预测映射</w:t>
      </w:r>
      <w:r>
        <w:rPr>
          <w:rFonts w:hint="eastAsia"/>
          <w:color w:val="000000"/>
          <w:szCs w:val="21"/>
        </w:rPr>
        <w:t>可</w:t>
      </w:r>
      <w:r w:rsidR="00B14FA3">
        <w:rPr>
          <w:color w:val="000000"/>
          <w:szCs w:val="21"/>
        </w:rPr>
        <w:t>写为</w:t>
      </w:r>
      <w:r>
        <w:rPr>
          <w:rFonts w:hint="eastAsia"/>
          <w:color w:val="000000"/>
          <w:szCs w:val="21"/>
        </w:rPr>
        <w:t>：</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w:r w:rsidR="00B14FA3">
        <w:rPr>
          <w:color w:val="000000"/>
          <w:szCs w:val="21"/>
        </w:rPr>
        <w:t>。原始</w:t>
      </w:r>
      <w:r w:rsidR="00B14FA3">
        <w:rPr>
          <w:color w:val="000000"/>
          <w:szCs w:val="21"/>
        </w:rPr>
        <w:t>OD</w:t>
      </w:r>
      <w:r w:rsidR="00B14FA3">
        <w:rPr>
          <w:color w:val="000000"/>
          <w:szCs w:val="21"/>
        </w:rPr>
        <w:t>流量非负</w:t>
      </w:r>
      <w:r w:rsidR="00921A07">
        <w:rPr>
          <w:rFonts w:hint="eastAsia"/>
          <w:color w:val="000000"/>
          <w:szCs w:val="21"/>
        </w:rPr>
        <w:t>，</w:t>
      </w:r>
      <w:r w:rsidR="00B14FA3">
        <w:rPr>
          <w:color w:val="000000"/>
          <w:szCs w:val="21"/>
        </w:rPr>
        <w:t>且变量间量级差异较大，先对原始流量</w:t>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oMath>
      <w:r w:rsidR="00B14FA3">
        <w:rPr>
          <w:color w:val="000000"/>
          <w:szCs w:val="21"/>
        </w:rPr>
        <w:t>作对数变换</w:t>
      </w:r>
      <w:r w:rsidRPr="00B34D42">
        <w:rPr>
          <w:color w:val="000000"/>
          <w:szCs w:val="21"/>
        </w:rPr>
        <w:t>压缩其取值范围，得到对数变换后的序列，其中</w:t>
      </w:r>
      <w:r w:rsidRPr="00B34D42">
        <w:rPr>
          <w:color w:val="000000"/>
          <w:szCs w:val="21"/>
        </w:rPr>
        <w:t>log</w:t>
      </w:r>
      <w:r w:rsidRPr="00B34D42">
        <w:rPr>
          <w:color w:val="000000"/>
          <w:szCs w:val="21"/>
        </w:rPr>
        <w:t>表示自然对数：</w:t>
      </w:r>
    </w:p>
    <w:p w14:paraId="707F6E5C"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3B9AAE8" w14:textId="77777777" w:rsidR="00B14FA3" w:rsidRPr="00B14FA3" w:rsidRDefault="00B14FA3" w:rsidP="00593DFC">
      <w:r w:rsidRPr="00B14FA3">
        <w:rPr>
          <w:color w:val="000000"/>
          <w:szCs w:val="21"/>
        </w:rPr>
        <w:t>再按变量进行标准化：</w:t>
      </w:r>
    </w:p>
    <w:p w14:paraId="64DE62A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14:paraId="427C1289" w14:textId="740DD36A" w:rsidR="00B14FA3" w:rsidRPr="00B14FA3" w:rsidRDefault="00B14FA3" w:rsidP="00593DFC">
      <w:pPr>
        <w:widowControl/>
      </w:pPr>
      <w:r>
        <w:rPr>
          <w:color w:val="000000"/>
          <w:szCs w:val="21"/>
        </w:rPr>
        <w:t>其中</w:t>
      </w:r>
      <m:oMath>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oMath>
      <w:r>
        <w:rPr>
          <w:color w:val="000000"/>
          <w:szCs w:val="21"/>
        </w:rPr>
        <w:t>和</w:t>
      </w:r>
      <m:oMath>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oMath>
      <w:r>
        <w:rPr>
          <w:color w:val="000000"/>
          <w:szCs w:val="21"/>
        </w:rPr>
        <w:t>分别为对数变换后训练集上第</w:t>
      </w:r>
      <w:r>
        <w:rPr>
          <w:color w:val="000000"/>
          <w:szCs w:val="21"/>
        </w:rPr>
        <w:t>c</w:t>
      </w:r>
      <w:r>
        <w:rPr>
          <w:color w:val="000000"/>
          <w:szCs w:val="21"/>
        </w:rPr>
        <w:t>个</w:t>
      </w:r>
      <w:r>
        <w:rPr>
          <w:color w:val="000000"/>
          <w:szCs w:val="21"/>
        </w:rPr>
        <w:t>OD</w:t>
      </w:r>
      <w:r>
        <w:rPr>
          <w:color w:val="000000"/>
          <w:szCs w:val="21"/>
        </w:rPr>
        <w:t>变量的均值与标准差，</w:t>
      </w:r>
      <w:r w:rsidR="002F6B79">
        <w:rPr>
          <w:color w:val="000000"/>
          <w:szCs w:val="21"/>
        </w:rPr>
        <w:t>验证集和测试集</w:t>
      </w:r>
      <w:r w:rsidR="002F6B79">
        <w:rPr>
          <w:rFonts w:hint="eastAsia"/>
          <w:color w:val="000000"/>
          <w:szCs w:val="21"/>
        </w:rPr>
        <w:t>直接</w:t>
      </w:r>
      <w:r w:rsidR="002F6B79">
        <w:rPr>
          <w:color w:val="000000"/>
          <w:szCs w:val="21"/>
        </w:rPr>
        <w:t>沿用训练统计量，不再单独估计</w:t>
      </w:r>
      <w:r>
        <w:rPr>
          <w:color w:val="000000"/>
          <w:szCs w:val="21"/>
        </w:rPr>
        <w:t>。对数变换</w:t>
      </w:r>
      <w:r w:rsidR="002F6B79">
        <w:rPr>
          <w:rFonts w:hint="eastAsia"/>
          <w:color w:val="000000"/>
          <w:szCs w:val="21"/>
        </w:rPr>
        <w:t>可以在</w:t>
      </w:r>
      <w:r w:rsidR="002F6B79">
        <w:rPr>
          <w:color w:val="000000"/>
          <w:szCs w:val="21"/>
        </w:rPr>
        <w:t>压缩非负流量数值范围</w:t>
      </w:r>
      <w:r w:rsidR="002F6B79">
        <w:rPr>
          <w:rFonts w:hint="eastAsia"/>
          <w:color w:val="000000"/>
          <w:szCs w:val="21"/>
        </w:rPr>
        <w:t>的</w:t>
      </w:r>
      <w:r w:rsidR="002F6B79">
        <w:rPr>
          <w:color w:val="000000"/>
          <w:szCs w:val="21"/>
        </w:rPr>
        <w:t>同时保留大小关系，</w:t>
      </w:r>
      <w:r w:rsidR="002F6B79">
        <w:rPr>
          <w:rFonts w:hint="eastAsia"/>
          <w:color w:val="000000"/>
          <w:szCs w:val="21"/>
        </w:rPr>
        <w:t>从而减小</w:t>
      </w:r>
      <w:r w:rsidR="002F6B79">
        <w:rPr>
          <w:color w:val="000000"/>
          <w:szCs w:val="21"/>
        </w:rPr>
        <w:t>量级差异</w:t>
      </w:r>
      <w:r>
        <w:rPr>
          <w:color w:val="000000"/>
          <w:szCs w:val="21"/>
        </w:rPr>
        <w:t>。</w:t>
      </w:r>
      <w:r w:rsidR="002F6B79">
        <w:rPr>
          <w:color w:val="000000"/>
          <w:szCs w:val="21"/>
        </w:rPr>
        <w:t>训练集、验证集和测试集按时间先后</w:t>
      </w:r>
      <w:r w:rsidR="002F6B79">
        <w:rPr>
          <w:rFonts w:hint="eastAsia"/>
          <w:color w:val="000000"/>
          <w:szCs w:val="21"/>
        </w:rPr>
        <w:t>顺序</w:t>
      </w:r>
      <w:r w:rsidR="002F6B79">
        <w:rPr>
          <w:color w:val="000000"/>
          <w:szCs w:val="21"/>
        </w:rPr>
        <w:t>以</w:t>
      </w:r>
      <w:r w:rsidR="002F6B79">
        <w:rPr>
          <w:color w:val="000000"/>
          <w:szCs w:val="21"/>
        </w:rPr>
        <w:t>6∶2∶2</w:t>
      </w:r>
      <w:r w:rsidR="002F6B79">
        <w:rPr>
          <w:rFonts w:hint="eastAsia"/>
          <w:color w:val="000000"/>
          <w:szCs w:val="21"/>
        </w:rPr>
        <w:t>比例</w:t>
      </w:r>
      <w:r w:rsidR="002F6B79">
        <w:rPr>
          <w:color w:val="000000"/>
          <w:szCs w:val="21"/>
        </w:rPr>
        <w:t>划分</w:t>
      </w:r>
      <w:r w:rsidR="002F6B79">
        <w:rPr>
          <w:rFonts w:hint="eastAsia"/>
          <w:color w:val="000000"/>
          <w:szCs w:val="21"/>
        </w:rPr>
        <w:t>后，</w:t>
      </w:r>
      <w:r w:rsidR="002F6B79">
        <w:rPr>
          <w:color w:val="000000"/>
          <w:szCs w:val="21"/>
        </w:rPr>
        <w:t>在各集合内独立生成滑动窗口</w:t>
      </w:r>
      <w:r w:rsidR="002F6B79">
        <w:rPr>
          <w:rFonts w:hint="eastAsia"/>
          <w:color w:val="000000"/>
          <w:szCs w:val="21"/>
        </w:rPr>
        <w:t>，并使</w:t>
      </w:r>
      <w:r w:rsidR="002F6B79">
        <w:rPr>
          <w:color w:val="000000"/>
          <w:szCs w:val="21"/>
        </w:rPr>
        <w:t>所有窗口保持在集合边界内。</w:t>
      </w:r>
    </w:p>
    <w:p w14:paraId="2CDFF87F" w14:textId="77777777" w:rsidR="00917D78" w:rsidRDefault="00000000" w:rsidP="00593DFC">
      <w:r>
        <w:rPr>
          <w:color w:val="000000"/>
          <w:szCs w:val="21"/>
        </w:rPr>
        <w:t>各尺度序列由同一预处理历史窗口构造，分别保留细粒度变化或较平滑的趋势。</w:t>
      </w:r>
    </w:p>
    <w:p w14:paraId="274CFB1A" w14:textId="77777777" w:rsidR="00917D78" w:rsidRDefault="00000000" w:rsidP="00593DFC">
      <w:r>
        <w:rPr>
          <w:rFonts w:ascii="Times New Roman" w:hAnsi="Times New Roman" w:eastAsia="宋体"/>
          <w:color w:val="000000"/>
          <w:sz w:val="21"/>
          <w:szCs w:val="21"/>
        </w:rPr>
        <w:t xml:space="preserve">主实验使用过去96 h预测未来24 h。补充实验保持历史长度不变，将预测长度改为12 h，用于检验融合效果对预测长度的依赖。</w:t>
      </w:r>
    </w:p>
    <w:p w14:paraId="4F49DB8D"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1.2 </w:t>
      </w:r>
      <w:r w:rsidRPr="00B14FA3">
        <w:rPr>
          <w:rFonts w:eastAsia="黑体"/>
          <w:b/>
          <w:bCs/>
          <w:color w:val="000000"/>
          <w:szCs w:val="21"/>
        </w:rPr>
        <w:t>多尺度构造与</w:t>
      </w:r>
      <w:r w:rsidRPr="00B14FA3">
        <w:rPr>
          <w:rFonts w:eastAsia="黑体"/>
          <w:b/>
          <w:bCs/>
          <w:color w:val="000000"/>
          <w:szCs w:val="21"/>
        </w:rPr>
        <w:t>DLinear</w:t>
      </w:r>
      <w:r w:rsidRPr="00B14FA3">
        <w:rPr>
          <w:rFonts w:eastAsia="黑体"/>
          <w:b/>
          <w:bCs/>
          <w:color w:val="000000"/>
          <w:szCs w:val="21"/>
        </w:rPr>
        <w:t>专家</w:t>
      </w:r>
    </w:p>
    <w:p w14:paraId="5F789885" w14:textId="77777777" w:rsidR="00B14FA3" w:rsidRPr="00B14FA3" w:rsidRDefault="00B14FA3" w:rsidP="00593DFC">
      <w:r w:rsidRPr="00B14FA3">
        <w:rPr>
          <w:color w:val="000000"/>
          <w:szCs w:val="21"/>
        </w:rPr>
        <w:t>对尺度</w:t>
      </w:r>
      <w:r w:rsidRPr="00B14FA3">
        <w:rPr>
          <w:i/>
          <w:color w:val="000000"/>
          <w:szCs w:val="21"/>
        </w:rPr>
        <w:t>s</w:t>
      </w:r>
      <w:r w:rsidRPr="00B14FA3">
        <w:rPr>
          <w:color w:val="000000"/>
          <w:szCs w:val="21"/>
        </w:rPr>
        <w:t>，时间维的非重叠平均池化同时将聚合窗口大小和步长设为该尺度的取值。尺度集合为</w:t>
      </w:r>
      <w:r w:rsidRPr="00B14FA3">
        <w:rPr>
          <w:i/>
          <w:color w:val="000000"/>
          <w:szCs w:val="21"/>
        </w:rPr>
        <w:t>S</w:t>
      </w:r>
      <w:r w:rsidRPr="00B14FA3">
        <w:rPr>
          <w:color w:val="000000"/>
          <w:szCs w:val="21"/>
        </w:rPr>
        <w:t>={1,2,4}</w:t>
      </w:r>
      <w:r w:rsidRPr="00B14FA3">
        <w:rPr>
          <w:color w:val="000000"/>
          <w:szCs w:val="21"/>
        </w:rPr>
        <w:t>，各序列按下式构造，其中</w:t>
      </w:r>
      <w:r w:rsidRPr="00B14FA3">
        <w:rPr>
          <w:i/>
          <w:color w:val="000000"/>
          <w:szCs w:val="21"/>
        </w:rPr>
        <w:t>s</w:t>
      </w:r>
      <w:r w:rsidRPr="00B14FA3">
        <w:rPr>
          <w:color w:val="000000"/>
          <w:szCs w:val="21"/>
        </w:rPr>
        <w:t>取自该集合：</w:t>
      </w:r>
    </w:p>
    <w:p w14:paraId="3080208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14:paraId="3E6C9856" w14:textId="24E80E8A" w:rsidR="00B14FA3" w:rsidRPr="00B14FA3" w:rsidRDefault="00D135DE" w:rsidP="00593DFC">
      <w:pPr>
        <w:widowControl/>
      </w:pPr>
      <w:r>
        <w:rPr>
          <w:rFonts w:ascii="Times New Roman" w:hAnsi="Times New Roman" w:eastAsia="宋体"/>
          <w:color w:val="000000"/>
          <w:sz w:val="21"/>
          <w:szCs w:val="21"/>
        </w:rPr>
        <w:t xml:space="preserve">非重叠平均池化不引入可训练参数。96步历史在尺度1、2和4上分别形成96、48和24步输入，粗尺度通过局部取均值平滑短时波动。</w:t>
      </w:r>
    </w:p>
    <w:p w14:paraId="671CE50B" w14:textId="7C1E9C32" w:rsidR="00917D78" w:rsidRDefault="00000000" w:rsidP="00593DFC">
      <w:pPr>
        <w:widowControl/>
      </w:pPr>
      <w:r>
        <w:rPr>
          <w:rFonts w:ascii="Times New Roman" w:hAnsi="Times New Roman" w:eastAsia="宋体"/>
          <w:color w:val="000000"/>
          <w:sz w:val="21"/>
          <w:szCs w:val="21"/>
        </w:rPr>
        <w:t xml:space="preserve">尺度集合{1,2,4}使各尺度输入长度均为整数，每个尺度配置一个独立专家；同一尺度内，每个时间点仅参与一次聚合。</w:t>
      </w:r>
    </w:p>
    <w:p w14:paraId="5A8BD3FA" w14:textId="6DD5C740" w:rsidR="00B14FA3" w:rsidRPr="00B14FA3" w:rsidRDefault="00B14FA3" w:rsidP="00593DFC">
      <w:pPr>
        <w:widowControl/>
      </w:pPr>
      <w:r>
        <w:rPr>
          <w:color w:val="000000"/>
          <w:szCs w:val="21"/>
        </w:rPr>
        <w:t>每个</w:t>
      </w:r>
      <w:r>
        <w:rPr>
          <w:color w:val="000000"/>
          <w:szCs w:val="21"/>
        </w:rPr>
        <w:t>DLinear</w:t>
      </w:r>
      <w:r>
        <w:rPr>
          <w:color w:val="000000"/>
          <w:szCs w:val="21"/>
        </w:rPr>
        <w:t>专家</w:t>
      </w:r>
      <w:r>
        <w:rPr>
          <w:color w:val="000000"/>
          <w:szCs w:val="21"/>
          <w:vertAlign w:val="superscript"/>
        </w:rPr>
        <w:t>[6]</w:t>
      </w:r>
      <w:r>
        <w:rPr>
          <w:color w:val="000000"/>
          <w:szCs w:val="21"/>
        </w:rPr>
        <w:t>处理本尺度输入，通过长度</w:t>
      </w:r>
      <w:r>
        <w:rPr>
          <w:i/>
          <w:color w:val="000000"/>
          <w:szCs w:val="21"/>
        </w:rPr>
        <w:t>q</w:t>
      </w:r>
      <w:r>
        <w:rPr>
          <w:color w:val="000000"/>
          <w:szCs w:val="21"/>
        </w:rPr>
        <w:t>=25</w:t>
      </w:r>
      <w:r>
        <w:rPr>
          <w:color w:val="000000"/>
          <w:szCs w:val="21"/>
        </w:rPr>
        <w:t>的中心移动平均提取趋势项，余项由输入减去趋势项得到。序列两端采用端点复制填充，保证分解前后时间长度不变；补齐后的序列记为</w:t>
      </w:r>
      <m:oMath>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X</m:t>
                </m:r>
              </m:e>
            </m:acc>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。越界索引取最近端点的值：</w:t>
      </w:r>
    </w:p>
    <w:p w14:paraId="414FF6C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14:paraId="103FCEE1" w14:textId="77777777" w:rsidR="00B14FA3" w:rsidRPr="00B14FA3" w:rsidRDefault="00B14FA3" w:rsidP="00593DFC">
      <w:pPr>
        <w:keepNext/>
      </w:pPr>
      <w:r>
        <w:rPr>
          <w:color w:val="000000"/>
          <w:szCs w:val="21"/>
        </w:rPr>
        <w:lastRenderedPageBreak/>
        <w:t>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沿时间维分别通过线性层映射到预测长度</w:t>
      </w:r>
      <w:r>
        <w:rPr>
          <w:i/>
          <w:color w:val="000000"/>
          <w:szCs w:val="21"/>
        </w:rPr>
        <w:t>H</w:t>
      </w:r>
      <w:r>
        <w:rPr>
          <w:color w:val="000000"/>
          <w:szCs w:val="21"/>
        </w:rPr>
        <w:t>：</w:t>
      </w:r>
    </w:p>
    <w:p w14:paraId="7AF0577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14:paraId="7158663D" w14:textId="77777777" w:rsidR="00B14FA3" w:rsidRPr="00B14FA3" w:rsidRDefault="00B14FA3" w:rsidP="00593DFC">
      <w:pPr>
        <w:widowControl/>
      </w:pPr>
      <w:r>
        <w:rPr>
          <w:color w:val="000000"/>
          <w:szCs w:val="21"/>
        </w:rPr>
        <w:t>由式（</w:t>
      </w:r>
      <w:r>
        <w:rPr>
          <w:color w:val="000000"/>
          <w:szCs w:val="21"/>
        </w:rPr>
        <w:t>6</w:t>
      </w:r>
      <w:r>
        <w:rPr>
          <w:color w:val="000000"/>
          <w:szCs w:val="21"/>
        </w:rPr>
        <w:t>）和式（</w:t>
      </w:r>
      <w:r>
        <w:rPr>
          <w:color w:val="000000"/>
          <w:szCs w:val="21"/>
        </w:rPr>
        <w:t>7</w:t>
      </w:r>
      <w:r>
        <w:rPr>
          <w:color w:val="000000"/>
          <w:szCs w:val="21"/>
        </w:rPr>
        <w:t>）可得到尺度</w:t>
      </w:r>
      <w:r>
        <w:rPr>
          <w:i/>
          <w:color w:val="000000"/>
          <w:szCs w:val="21"/>
        </w:rPr>
        <w:t>s</w:t>
      </w:r>
      <w:r>
        <w:rPr>
          <w:color w:val="000000"/>
          <w:szCs w:val="21"/>
        </w:rPr>
        <w:t>上的趋势项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。前者表示局部平滑后的趋势，后者为去除趋势后的剩余部分。式（</w:t>
      </w:r>
      <w:r>
        <w:rPr>
          <w:color w:val="000000"/>
          <w:szCs w:val="21"/>
        </w:rPr>
        <w:t>8</w:t>
      </w:r>
      <w:r>
        <w:rPr>
          <w:color w:val="000000"/>
          <w:szCs w:val="21"/>
        </w:rPr>
        <w:t>）对两者分别作线性映射，将预测结果相加。三个专家分别处理长度</w:t>
      </w:r>
      <w:r>
        <w:rPr>
          <w:color w:val="000000"/>
          <w:szCs w:val="21"/>
        </w:rPr>
        <w:t>96</w:t>
      </w:r>
      <w:r>
        <w:rPr>
          <w:color w:val="000000"/>
          <w:szCs w:val="21"/>
        </w:rPr>
        <w:t>、</w:t>
      </w:r>
      <w:r>
        <w:rPr>
          <w:color w:val="000000"/>
          <w:szCs w:val="21"/>
        </w:rPr>
        <w:t>48</w:t>
      </w:r>
      <w:r>
        <w:rPr>
          <w:color w:val="000000"/>
          <w:szCs w:val="21"/>
        </w:rPr>
        <w:t>和</w:t>
      </w:r>
      <w:r>
        <w:rPr>
          <w:color w:val="000000"/>
          <w:szCs w:val="21"/>
        </w:rPr>
        <w:t>24</w:t>
      </w:r>
      <w:r>
        <w:rPr>
          <w:color w:val="000000"/>
          <w:szCs w:val="21"/>
        </w:rPr>
        <w:t>的输入，参数独立。两个线性层的权重矩阵均为</w:t>
      </w:r>
      <w:r>
        <w:rPr>
          <w:i/>
          <w:color w:val="000000"/>
          <w:szCs w:val="21"/>
        </w:rPr>
        <w:t>H</w:t>
      </w:r>
      <w:r>
        <w:rPr>
          <w:color w:val="000000"/>
          <w:szCs w:val="21"/>
        </w:rPr>
        <w:t>×(</w:t>
      </w:r>
      <w:r>
        <w:rPr>
          <w:i/>
          <w:color w:val="000000"/>
          <w:szCs w:val="21"/>
        </w:rPr>
        <w:t>L</w:t>
      </w:r>
      <w:r>
        <w:rPr>
          <w:color w:val="000000"/>
          <w:szCs w:val="21"/>
        </w:rPr>
        <w:t>/</w:t>
      </w:r>
      <w:r>
        <w:rPr>
          <w:i/>
          <w:color w:val="000000"/>
          <w:szCs w:val="21"/>
        </w:rPr>
        <w:t>s</w:t>
      </w:r>
      <w:r>
        <w:rPr>
          <w:color w:val="000000"/>
          <w:szCs w:val="21"/>
        </w:rPr>
        <w:t>)</w:t>
      </w:r>
      <w:r>
        <w:rPr>
          <w:color w:val="000000"/>
          <w:szCs w:val="21"/>
        </w:rPr>
        <w:t>，偏置向量均为</w:t>
      </w:r>
      <w:r>
        <w:rPr>
          <w:i/>
          <w:color w:val="000000"/>
          <w:szCs w:val="21"/>
        </w:rPr>
        <w:t>H</w:t>
      </w:r>
      <w:r>
        <w:rPr>
          <w:color w:val="000000"/>
          <w:szCs w:val="21"/>
        </w:rPr>
        <w:t>维；各</w:t>
      </w:r>
      <w:r>
        <w:rPr>
          <w:color w:val="000000"/>
          <w:szCs w:val="21"/>
        </w:rPr>
        <w:t>OD</w:t>
      </w:r>
      <w:r>
        <w:rPr>
          <w:color w:val="000000"/>
          <w:szCs w:val="21"/>
        </w:rPr>
        <w:t>变量共享参数，偏置沿</w:t>
      </w:r>
      <w:r>
        <w:rPr>
          <w:color w:val="000000"/>
          <w:szCs w:val="21"/>
        </w:rPr>
        <w:t>OD</w:t>
      </w:r>
      <w:r>
        <w:rPr>
          <w:color w:val="000000"/>
          <w:szCs w:val="21"/>
        </w:rPr>
        <w:t>变量维度广播，输出为</w:t>
      </w:r>
      <w:r>
        <w:rPr>
          <w:i/>
          <w:color w:val="000000"/>
          <w:szCs w:val="21"/>
        </w:rPr>
        <w:t>H</w:t>
      </w:r>
      <w:r>
        <w:rPr>
          <w:color w:val="000000"/>
          <w:szCs w:val="21"/>
        </w:rPr>
        <w:t>×</w:t>
      </w:r>
      <w:r>
        <w:rPr>
          <w:i/>
          <w:color w:val="000000"/>
          <w:szCs w:val="21"/>
        </w:rPr>
        <w:t>C</w:t>
      </w:r>
      <w:r>
        <w:rPr>
          <w:color w:val="000000"/>
          <w:szCs w:val="21"/>
        </w:rPr>
        <w:t>。</w:t>
      </w:r>
    </w:p>
    <w:p w14:paraId="675735A8"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1.3 </w:t>
      </w:r>
      <w:r w:rsidRPr="00B14FA3">
        <w:rPr>
          <w:rFonts w:eastAsia="黑体"/>
          <w:b/>
          <w:bCs/>
          <w:color w:val="000000"/>
          <w:szCs w:val="21"/>
        </w:rPr>
        <w:t>样本级自适应尺度加权</w:t>
      </w:r>
    </w:p>
    <w:p w14:paraId="17B265D8" w14:textId="5BF68820" w:rsidR="00B14FA3" w:rsidRPr="00B14FA3" w:rsidRDefault="001415A7" w:rsidP="00593DFC">
      <w:pPr>
        <w:widowControl/>
      </w:pPr>
      <w:r w:rsidRPr="001415A7">
        <w:rPr>
          <w:color w:val="000000"/>
          <w:szCs w:val="21"/>
        </w:rPr>
        <w:t>固定等权融合对三个尺度均取</w:t>
      </w:r>
      <w:r w:rsidRPr="001415A7">
        <w:rPr>
          <w:color w:val="000000"/>
          <w:szCs w:val="21"/>
        </w:rPr>
        <w:t>1/3</w:t>
      </w:r>
      <w:r w:rsidRPr="001415A7">
        <w:rPr>
          <w:color w:val="000000"/>
          <w:szCs w:val="21"/>
        </w:rPr>
        <w:t>，与当前窗口状态无关。本文根据窗口统计特征学习融合权重，组合三个</w:t>
      </w:r>
      <w:r w:rsidRPr="001415A7">
        <w:rPr>
          <w:color w:val="000000"/>
          <w:szCs w:val="21"/>
        </w:rPr>
        <w:t>DLinear</w:t>
      </w:r>
      <w:r w:rsidRPr="001415A7">
        <w:rPr>
          <w:color w:val="000000"/>
          <w:szCs w:val="21"/>
        </w:rPr>
        <w:t>专家的预测结果。局部波动与较慢趋势的预测价值可能随窗口变化，因此从原始时间分辨率的预处理窗口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sidR="005538D3">
        <w:rPr>
          <w:rFonts w:hint="eastAsia"/>
        </w:rPr>
        <w:t>中</w:t>
      </w:r>
      <w:r w:rsidR="00B14FA3">
        <w:rPr>
          <w:color w:val="000000"/>
          <w:szCs w:val="21"/>
        </w:rPr>
        <w:t>构造四维统计向量</w:t>
      </w:r>
      <m:oMath>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rsidR="00B14FA3">
        <w:rPr>
          <w:color w:val="000000"/>
          <w:szCs w:val="21"/>
        </w:rPr>
        <w:t>，各统计量定义</w:t>
      </w:r>
      <w:r w:rsidR="005538D3">
        <w:rPr>
          <w:rFonts w:hint="eastAsia"/>
          <w:color w:val="000000"/>
          <w:szCs w:val="21"/>
        </w:rPr>
        <w:t>如下：</w:t>
      </w:r>
    </w:p>
    <w:p w14:paraId="31F9D3F4"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14:paraId="6CD92C0F" w14:textId="77777777" w:rsidR="00B14FA3" w:rsidRPr="00B14FA3" w:rsidRDefault="00000000" w:rsidP="00593DFC">
      <w:pPr>
        <w:widowControl/>
      </w:pP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和</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分别为输入窗口的均值、标准差、末时刻均值和平均绝对一阶差分。</w:t>
      </w: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表示标准化窗口的平均水平，</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刻画观测值的离散程度，</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为窗口末时刻各</w:t>
      </w:r>
      <w:r w:rsidR="00B14FA3">
        <w:rPr>
          <w:color w:val="000000"/>
          <w:szCs w:val="21"/>
        </w:rPr>
        <w:t>OD</w:t>
      </w:r>
      <w:r w:rsidR="00B14FA3">
        <w:rPr>
          <w:color w:val="000000"/>
          <w:szCs w:val="21"/>
        </w:rPr>
        <w:t>变量的均值，</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为相邻时间点绝对差值的均值。这</w:t>
      </w:r>
      <w:r w:rsidR="00B14FA3">
        <w:rPr>
          <w:color w:val="000000"/>
          <w:szCs w:val="21"/>
        </w:rPr>
        <w:t>4</w:t>
      </w:r>
      <w:r w:rsidR="00B14FA3">
        <w:rPr>
          <w:color w:val="000000"/>
          <w:szCs w:val="21"/>
        </w:rPr>
        <w:t>个统计量用于计算随输入窗口变化的尺度权重，各尺度专家负责生成预测值。</w:t>
      </w:r>
    </w:p>
    <w:p w14:paraId="627C385A" w14:textId="0AF0928D" w:rsidR="00917D78" w:rsidRDefault="00A52473" w:rsidP="00593DFC">
      <w:pPr>
        <w:widowControl/>
      </w:pPr>
      <w:r>
        <w:rPr>
          <w:rFonts w:ascii="Times New Roman" w:hAnsi="Times New Roman" w:eastAsia="宋体"/>
          <w:color w:val="000000"/>
          <w:sz w:val="21"/>
          <w:szCs w:val="21"/>
        </w:rPr>
        <w:t xml:space="preserve">尺度路由网络由两层全连接层组成，将四维统计向量映射到16维隐藏层，再输出三个尺度分数。隐藏层采用修正线性单元（rectified linear unit，ReLU）激活。该模块只负责尺度融合，不再增加循环网络或注意力编码器。尺度分数计算如下：</w:t>
      </w:r>
    </w:p>
    <w:p w14:paraId="528ACD1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14:paraId="31EB5AAD" w14:textId="77777777" w:rsidR="00B14FA3" w:rsidRPr="00B14FA3" w:rsidRDefault="00B14FA3" w:rsidP="00593DFC">
      <w:r>
        <w:rPr>
          <w:color w:val="000000"/>
          <w:szCs w:val="21"/>
        </w:rPr>
        <w:t>式（</w:t>
      </w:r>
      <w:r>
        <w:rPr>
          <w:color w:val="000000"/>
          <w:szCs w:val="21"/>
        </w:rPr>
        <w:t>11</w:t>
      </w:r>
      <w:r>
        <w:rPr>
          <w:color w:val="000000"/>
          <w:szCs w:val="21"/>
        </w:rPr>
        <w:t>）中，两层权重矩阵依次为</w:t>
      </w:r>
      <w:r>
        <w:rPr>
          <w:color w:val="000000"/>
          <w:szCs w:val="21"/>
        </w:rPr>
        <w:t>16×4</w:t>
      </w:r>
      <w:r>
        <w:rPr>
          <w:color w:val="000000"/>
          <w:szCs w:val="21"/>
        </w:rPr>
        <w:t>和</w:t>
      </w:r>
      <w:r>
        <w:rPr>
          <w:color w:val="000000"/>
          <w:szCs w:val="21"/>
        </w:rPr>
        <w:t>3×16</w:t>
      </w:r>
      <w:r>
        <w:rPr>
          <w:color w:val="000000"/>
          <w:szCs w:val="21"/>
        </w:rPr>
        <w:t>，偏置向量分别为</w:t>
      </w:r>
      <w:r>
        <w:rPr>
          <w:color w:val="000000"/>
          <w:szCs w:val="21"/>
        </w:rPr>
        <w:t>16</w:t>
      </w:r>
      <w:r>
        <w:rPr>
          <w:color w:val="000000"/>
          <w:szCs w:val="21"/>
        </w:rPr>
        <w:t>维和</w:t>
      </w:r>
      <w:r>
        <w:rPr>
          <w:color w:val="000000"/>
          <w:szCs w:val="21"/>
        </w:rPr>
        <w:t>3</w:t>
      </w:r>
      <w:r>
        <w:rPr>
          <w:color w:val="000000"/>
          <w:szCs w:val="21"/>
        </w:rPr>
        <w:t>维。对</w:t>
      </w:r>
      <w:r>
        <w:rPr>
          <w:color w:val="000000"/>
          <w:szCs w:val="21"/>
        </w:rPr>
        <w:t>3</w:t>
      </w:r>
      <w:r>
        <w:rPr>
          <w:color w:val="000000"/>
          <w:szCs w:val="21"/>
        </w:rPr>
        <w:t>个尺度分数作</w:t>
      </w:r>
      <w:r>
        <w:rPr>
          <w:color w:val="000000"/>
          <w:szCs w:val="21"/>
        </w:rPr>
        <w:t>Softmax</w:t>
      </w:r>
      <w:r>
        <w:rPr>
          <w:color w:val="000000"/>
          <w:szCs w:val="21"/>
        </w:rPr>
        <w:t>归一化，得到</w:t>
      </w:r>
      <w:r>
        <w:rPr>
          <w:color w:val="000000"/>
          <w:szCs w:val="21"/>
        </w:rPr>
        <w:t>3</w:t>
      </w:r>
      <w:r>
        <w:rPr>
          <w:color w:val="000000"/>
          <w:szCs w:val="21"/>
        </w:rPr>
        <w:t>个总和为</w:t>
      </w:r>
      <w:r>
        <w:rPr>
          <w:color w:val="000000"/>
          <w:szCs w:val="21"/>
        </w:rPr>
        <w:t>1</w:t>
      </w:r>
      <w:r>
        <w:rPr>
          <w:color w:val="000000"/>
          <w:szCs w:val="21"/>
        </w:rPr>
        <w:t>的非负权重；各专家在最终预测中的相对贡献由这些权重表示：</w:t>
      </w:r>
    </w:p>
    <w:p w14:paraId="2D027ED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14:paraId="53C87F01" w14:textId="77777777" w:rsidR="00B14FA3" w:rsidRPr="00B14FA3" w:rsidRDefault="00B14FA3" w:rsidP="00593DFC">
      <w:r w:rsidRPr="00B14FA3">
        <w:rPr>
          <w:color w:val="000000"/>
          <w:szCs w:val="21"/>
        </w:rPr>
        <w:t>最终预测为</w:t>
      </w:r>
    </w:p>
    <w:p w14:paraId="4DBD2A18"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14:paraId="6D04C7A9" w14:textId="77777777" w:rsidR="00B14FA3" w:rsidRPr="00B14FA3" w:rsidRDefault="00B14FA3" w:rsidP="00593DFC">
      <w:pPr>
        <w:widowControl/>
      </w:pPr>
      <w:r>
        <w:rPr>
          <w:color w:val="000000"/>
          <w:szCs w:val="21"/>
        </w:rPr>
        <w:t>式（</w:t>
      </w:r>
      <w:r>
        <w:rPr>
          <w:color w:val="000000"/>
          <w:szCs w:val="21"/>
        </w:rPr>
        <w:t>13</w:t>
      </w:r>
      <w:r>
        <w:rPr>
          <w:color w:val="000000"/>
          <w:szCs w:val="21"/>
        </w:rPr>
        <w:t>）给出最终预测</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oMath>
      <w:r>
        <w:rPr>
          <w:color w:val="000000"/>
          <w:szCs w:val="21"/>
        </w:rPr>
        <w:t>。同一窗口内的全部OD变量和预测步共用这组尺度权重。变量信息通过共享线性映射和汇总统计量参与预测，模型不构造变量对之间的显式交互。该设计控制了参数规模，但会压缩各变量状态差异。</w:t>
      </w:r>
      <w:r>
        <w:rPr>
          <w:color w:val="000000"/>
          <w:szCs w:val="21"/>
        </w:rPr>
        <w:t/>
      </w:r>
      <w:r>
        <w:rPr>
          <w:color w:val="000000"/>
          <w:szCs w:val="21"/>
        </w:rPr>
        <w:t/>
      </w:r>
    </w:p>
    <w:p w14:paraId="6B6CA2A4"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1.4 </w:t>
      </w:r>
      <w:r>
        <w:rPr>
          <w:rFonts w:eastAsia="黑体"/>
          <w:b/>
          <w:bCs/>
          <w:color w:val="000000"/>
          <w:szCs w:val="21"/>
        </w:rPr>
        <w:t>模型训练与预测输出</w:t>
      </w:r>
    </w:p>
    <w:p w14:paraId="41A85E58" w14:textId="77777777" w:rsidR="00B14FA3" w:rsidRPr="00B14FA3" w:rsidRDefault="00B14FA3" w:rsidP="00593DFC">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）训练模型，损失为</w:t>
      </w:r>
      <w:r>
        <w:rPr>
          <w:i/>
          <w:color w:val="000000"/>
          <w:szCs w:val="21"/>
        </w:rPr>
        <w:t>N</w:t>
      </w:r>
      <w:r>
        <w:rPr>
          <w:color w:val="000000"/>
          <w:szCs w:val="21"/>
        </w:rPr>
        <w:t>个训练样本、未来</w:t>
      </w:r>
      <w:r>
        <w:rPr>
          <w:i/>
          <w:color w:val="000000"/>
          <w:szCs w:val="21"/>
        </w:rPr>
        <w:t>H</w:t>
      </w:r>
      <w:r>
        <w:rPr>
          <w:color w:val="000000"/>
          <w:szCs w:val="21"/>
        </w:rPr>
        <w:t>个时刻及</w:t>
      </w:r>
      <w:r>
        <w:rPr>
          <w:i/>
          <w:color w:val="000000"/>
          <w:szCs w:val="21"/>
        </w:rPr>
        <w:t>C</w:t>
      </w:r>
      <w:r>
        <w:rPr>
          <w:color w:val="000000"/>
          <w:szCs w:val="21"/>
        </w:rPr>
        <w:t>个</w:t>
      </w:r>
      <w:r>
        <w:rPr>
          <w:color w:val="000000"/>
          <w:szCs w:val="21"/>
        </w:rPr>
        <w:t>OD</w:t>
      </w:r>
      <w:r>
        <w:rPr>
          <w:color w:val="000000"/>
          <w:szCs w:val="21"/>
        </w:rPr>
        <w:t>变量上平方误差的平均值。其中</w:t>
      </w:r>
      <w:r>
        <w:rPr>
          <w:i/>
          <w:color w:val="000000"/>
          <w:szCs w:val="21"/>
        </w:rPr>
        <w:t>N</w:t>
      </w:r>
      <w:r>
        <w:rPr>
          <w:color w:val="000000"/>
          <w:szCs w:val="21"/>
        </w:rPr>
        <w:t>为训练样本数，训练目标为</w:t>
      </w:r>
    </w:p>
    <w:p w14:paraId="73383E0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14:paraId="4FB1114C" w14:textId="247A2334" w:rsidR="00B14FA3" w:rsidRPr="00B14FA3" w:rsidRDefault="00852CB1" w:rsidP="00593DFC">
      <w:r>
        <w:rPr>
          <w:rFonts w:hint="eastAsia"/>
          <w:color w:val="000000"/>
          <w:szCs w:val="21"/>
        </w:rPr>
        <w:t>模型</w:t>
      </w:r>
      <w:r w:rsidR="00B14FA3">
        <w:rPr>
          <w:color w:val="000000"/>
          <w:szCs w:val="21"/>
        </w:rPr>
        <w:t>参数</w:t>
      </w:r>
      <w:r>
        <w:rPr>
          <w:rFonts w:hint="eastAsia"/>
          <w:color w:val="000000"/>
          <w:szCs w:val="21"/>
        </w:rPr>
        <w:t>采用</w:t>
      </w:r>
      <w:r w:rsidR="00B14FA3">
        <w:rPr>
          <w:color w:val="000000"/>
          <w:szCs w:val="21"/>
        </w:rPr>
        <w:t>自适应矩估计（</w:t>
      </w:r>
      <w:r w:rsidR="00B14FA3">
        <w:rPr>
          <w:color w:val="000000"/>
          <w:szCs w:val="21"/>
        </w:rPr>
        <w:t>adaptive moment estimation</w:t>
      </w:r>
      <w:r w:rsidR="00B14FA3">
        <w:rPr>
          <w:color w:val="000000"/>
          <w:szCs w:val="21"/>
        </w:rPr>
        <w:t>，</w:t>
      </w:r>
      <w:r w:rsidR="00B14FA3">
        <w:rPr>
          <w:color w:val="000000"/>
          <w:szCs w:val="21"/>
        </w:rPr>
        <w:t>Adam</w:t>
      </w:r>
      <w:r w:rsidR="00B14FA3">
        <w:rPr>
          <w:color w:val="000000"/>
          <w:szCs w:val="21"/>
        </w:rPr>
        <w:t>）优化器</w:t>
      </w:r>
      <w:r>
        <w:rPr>
          <w:rFonts w:hint="eastAsia"/>
          <w:color w:val="000000"/>
          <w:szCs w:val="21"/>
        </w:rPr>
        <w:t>进行</w:t>
      </w:r>
      <w:r w:rsidR="00B14FA3">
        <w:rPr>
          <w:color w:val="000000"/>
          <w:szCs w:val="21"/>
        </w:rPr>
        <w:t>更新，</w:t>
      </w:r>
      <w:r>
        <w:rPr>
          <w:rFonts w:hint="eastAsia"/>
          <w:color w:val="000000"/>
          <w:szCs w:val="21"/>
        </w:rPr>
        <w:t>以</w:t>
      </w:r>
      <w:r w:rsidR="00B14FA3">
        <w:rPr>
          <w:color w:val="000000"/>
          <w:szCs w:val="21"/>
        </w:rPr>
        <w:t>验证集</w:t>
      </w:r>
      <w:r w:rsidR="00B14FA3">
        <w:rPr>
          <w:color w:val="000000"/>
          <w:szCs w:val="21"/>
        </w:rPr>
        <w:t>MSE</w:t>
      </w:r>
      <w:r w:rsidR="00D271B0">
        <w:rPr>
          <w:rFonts w:hint="eastAsia"/>
          <w:color w:val="000000"/>
          <w:szCs w:val="21"/>
        </w:rPr>
        <w:t>作为选择依据</w:t>
      </w:r>
      <w:r w:rsidR="00B14FA3">
        <w:rPr>
          <w:color w:val="000000"/>
          <w:szCs w:val="21"/>
        </w:rPr>
        <w:t>。</w:t>
      </w:r>
    </w:p>
    <w:p w14:paraId="56F180A0" w14:textId="6D365DAA" w:rsidR="00917D78" w:rsidRDefault="00D271B0" w:rsidP="00593DFC">
      <w:pPr>
        <w:widowControl/>
      </w:pPr>
      <w:r>
        <w:rPr>
          <w:rFonts w:ascii="Times New Roman" w:hAnsi="Times New Roman" w:eastAsia="宋体"/>
          <w:color w:val="000000"/>
          <w:sz w:val="21"/>
          <w:szCs w:val="21"/>
        </w:rPr>
        <w:t xml:space="preserve">推理时，历史窗口沿用训练阶段的预处理规则，经多尺度专家和路由网络生成未来多步预测。本文的误差评价在标准化空间完成；用于实际需求分析前，还需恢复原始流量量纲。</w:t>
      </w:r>
    </w:p>
    <w:p>
      <w:pPr>
        <w:spacing w:before="80" w:after="20"/>
        <w:ind w:firstLine="0"/>
        <w:jc w:val="left"/>
        <w:outlineLvl w:val="1"/>
        <w:rPr>
          <w:rFonts w:eastAsia="黑体"/>
          <w:b/>
          <w:bCs/>
          <w:szCs w:val="32"/>
        </w:rPr>
        <w:keepNext/>
      </w:pPr>
      <w:r>
        <w:rPr>
          <w:rFonts w:ascii="Times New Roman" w:hAnsi="Times New Roman" w:eastAsia="黑体"/>
          <w:color w:val="000000"/>
          <w:sz w:val="24"/>
          <w:szCs w:val="24"/>
          <w:b/>
        </w:rPr>
        <w:t xml:space="preserve">1.5 参数规模与计算复杂度</w:t>
      </w:r>
    </w:p>
    <w:p>
      <w:pPr>
        <w:rPr>
          <w:color w:val="000000"/>
        </w:rPr>
      </w:pPr>
      <w:r>
        <w:rPr>
          <w:rFonts w:ascii="Times New Roman" w:hAnsi="Times New Roman" w:eastAsia="宋体"/>
          <w:color w:val="000000"/>
          <w:sz w:val="21"/>
          <w:szCs w:val="21"/>
        </w:rPr>
        <w:t xml:space="preserve">设尺度数为K，路由隐藏层宽度为d。每个尺度的两个线性层合计包含2H(L/s+1)个参数，且在OD变量间共享；路由网络参数量为4×16+16+16×3+3=131。主实验取L=96、H=24、K=3，参数总量为：</w:t>
      </w:r>
    </w:p>
    <w:p>
      <w:pPr>
        <w:widowControl/>
        <w:tabs>
          <w:tab w:val="center" w:pos="4819"/>
          <w:tab w:val="right" w:pos="9638"/>
        </w:tabs>
        <w:spacing w:before="40" w:after="40"/>
        <w:ind w:firstLine="0"/>
        <w:jc w:val="center"/>
        <w:rPr>
          <w:rFonts w:ascii="Cambria Math" w:eastAsia="Cambria Math" w:hAnsi="Cambria Math"/>
          <w:kern w:val="0"/>
          <w:szCs w:val="20"/>
        </w:rPr>
      </w:pPr>
      <m:oMath>
        <m:r>
          <m:t>P = </m:t>
        </m:r>
        <m:nary>
          <m:naryPr>
            <m:chr m:val="∑"/>
            <m:limLoc m:val="subSup"/>
            <m:supHide m:val="1"/>
          </m:naryPr>
          <m:sub>
            <m:r>
              <m:t>s∈S</m:t>
            </m:r>
          </m:sub>
          <m:sup/>
          <m:e>
            <m:r>
              <m:t>2H(L/s+1)</m:t>
            </m:r>
          </m:e>
        </m:nary>
        <m:r>
          <m:t> + 131 = 8339</m:t>
        </m:r>
      </m:oMath>
    </w:p>
    <w:p>
      <w:pPr>
        <w:rPr>
          <w:color w:val="000000"/>
        </w:rPr>
      </w:pPr>
      <w:r>
        <w:rPr>
          <w:rFonts w:ascii="Times New Roman" w:hAnsi="Times New Roman" w:eastAsia="宋体"/>
          <w:color w:val="000000"/>
          <w:sz w:val="21"/>
          <w:szCs w:val="21"/>
        </w:rPr>
        <w:t xml:space="preserve">对单个窗口，尺度池化及四项统计量的计算量随LC线性增长；各尺度移动平均的直接计算量与qC乘以各尺度输入长度之和成正比，线性预测与HC乘以该长度之和成正比，输出融合与KHC成正比。固定尺度集合及q=25时，主要计算量为O(CHL+CL)，路由MLP的计算量为O(4d+dK)。忽略固定算子的工作区，输入和候选预测的存储量为O(CL+KHC)。</w:t>
      </w:r>
    </w:p>
    <w:p>
      <w:pPr>
        <w:rPr>
          <w:color w:val="000000"/>
        </w:rPr>
      </w:pPr>
      <w:r>
        <w:rPr>
          <w:rFonts w:ascii="Times New Roman" w:hAnsi="Times New Roman" w:eastAsia="宋体"/>
          <w:color w:val="000000"/>
          <w:sz w:val="21"/>
          <w:szCs w:val="21"/>
        </w:rPr>
        <w:t xml:space="preserve">因此，在历史长度和预测长度固定时，参数量不随OD变量数增加，但计算量与中间张量仍随变量数增长。历史长度或预测长度增加也会提高参数量和计算量。若保留完整OD矩阵，变量数最多随节点数的平方增长，本文的参数共享并不意味着对网络节点数具有线性扩展性。</w:t>
      </w:r>
    </w:p>
    <w:p w14:paraId="09E0692C" w14:textId="77777777" w:rsidR="00B14FA3" w:rsidRPr="00B14FA3" w:rsidRDefault="00B14FA3" w:rsidP="00593DFC">
      <w:pPr>
        <w:keepNext/>
        <w:spacing w:before="80" w:after="20"/>
        <w:ind w:firstLine="0"/>
        <w:jc w:val="left"/>
        <w:outlineLvl w:val="0"/>
        <w:rPr>
          <w:rFonts w:eastAsia="黑体"/>
          <w:b/>
          <w:bCs/>
          <w:szCs w:val="32"/>
        </w:rPr>
      </w:pPr>
      <w:r w:rsidRPr="00B14FA3">
        <w:rPr>
          <w:rFonts w:eastAsia="黑体"/>
          <w:b/>
          <w:bCs/>
          <w:color w:val="000000"/>
          <w:sz w:val="24"/>
        </w:rPr>
        <w:lastRenderedPageBreak/>
        <w:t xml:space="preserve">2 </w:t>
      </w:r>
      <w:r w:rsidRPr="00B14FA3">
        <w:rPr>
          <w:rFonts w:eastAsia="黑体"/>
          <w:b/>
          <w:bCs/>
          <w:color w:val="000000"/>
          <w:sz w:val="24"/>
        </w:rPr>
        <w:t>实验与结果分析</w:t>
      </w:r>
    </w:p>
    <w:p w14:paraId="012F77CF" w14:textId="77777777" w:rsidR="00917D78" w:rsidRDefault="00000000" w:rsidP="00593DFC">
      <w:r>
        <w:rPr>
          <w:rFonts w:ascii="Times New Roman" w:hAnsi="Times New Roman" w:eastAsia="宋体"/>
          <w:color w:val="000000"/>
          <w:sz w:val="21"/>
          <w:szCs w:val="21"/>
        </w:rPr>
        <w:t xml:space="preserve">实验评价总体误差、融合方式、预测长度、尺度权重和计算开销，并据此讨论适用范围。</w:t>
      </w:r>
    </w:p>
    <w:p w14:paraId="1513E3DE" w14:textId="77777777" w:rsidR="00B14FA3" w:rsidRPr="00B14FA3" w:rsidRDefault="00B14FA3" w:rsidP="00593DFC">
      <w:pPr>
        <w:spacing w:before="80" w:after="20"/>
        <w:ind w:firstLine="0"/>
        <w:jc w:val="left"/>
        <w:outlineLvl w:val="1"/>
        <w:rPr>
          <w:rFonts w:eastAsia="黑体"/>
          <w:b/>
          <w:bCs/>
          <w:szCs w:val="32"/>
        </w:rPr>
        <w:keepNext/>
      </w:pPr>
      <w:r>
        <w:rPr>
          <w:rFonts w:eastAsia="黑体"/>
          <w:b/>
          <w:bCs/>
          <w:color w:val="000000"/>
          <w:szCs w:val="21"/>
        </w:rPr>
        <w:t xml:space="preserve">2.1 </w:t>
      </w:r>
      <w:r>
        <w:rPr>
          <w:rFonts w:eastAsia="黑体"/>
          <w:b/>
          <w:bCs/>
          <w:color w:val="000000"/>
          <w:szCs w:val="21"/>
        </w:rPr>
        <w:t>数据集与实验设置</w:t>
      </w:r>
    </w:p>
    <w:p w14:paraId="371980CF" w14:textId="63042895" w:rsidR="00B14FA3" w:rsidRPr="00B14FA3" w:rsidRDefault="00B14FA3" w:rsidP="00593DFC">
      <w:pPr>
        <w:keepLines/>
      </w:pPr>
      <w:r>
        <w:rPr>
          <w:rFonts w:ascii="Times New Roman" w:hAnsi="Times New Roman" w:eastAsia="宋体"/>
          <w:color w:val="000000"/>
          <w:sz w:val="21"/>
          <w:szCs w:val="21"/>
        </w:rPr>
        <w:t xml:space="preserve">本实验选用CESNET TS-Zoo</w:t>
      </w:r>
      <w:r>
        <w:rPr>
          <w:rFonts w:ascii="Times New Roman" w:hAnsi="Times New Roman" w:eastAsia="宋体"/>
          <w:color w:val="000000"/>
          <w:sz w:val="21"/>
          <w:szCs w:val="21"/>
          <w:vertAlign w:val="superscript"/>
        </w:rPr>
        <w:t xml:space="preserve">[9]</w:t>
      </w:r>
      <w:r>
        <w:rPr>
          <w:rFonts w:ascii="Times New Roman" w:hAnsi="Times New Roman" w:eastAsia="宋体"/>
          <w:color w:val="000000"/>
          <w:sz w:val="21"/>
          <w:szCs w:val="21"/>
        </w:rPr>
        <w:t xml:space="preserve">中的1 h粒度Abilene</w:t>
      </w:r>
      <w:r>
        <w:rPr>
          <w:rFonts w:ascii="Times New Roman" w:hAnsi="Times New Roman" w:eastAsia="宋体"/>
          <w:color w:val="000000"/>
          <w:sz w:val="21"/>
          <w:szCs w:val="21"/>
          <w:vertAlign w:val="superscript"/>
        </w:rPr>
        <w:t xml:space="preserve">[10]</w:t>
      </w:r>
      <w:r>
        <w:rPr>
          <w:rFonts w:ascii="Times New Roman" w:hAnsi="Times New Roman" w:eastAsia="宋体"/>
          <w:color w:val="000000"/>
          <w:sz w:val="21"/>
          <w:szCs w:val="21"/>
        </w:rPr>
        <w:t xml:space="preserve">和GÉANT</w:t>
      </w:r>
      <w:r>
        <w:rPr>
          <w:rFonts w:ascii="Times New Roman" w:hAnsi="Times New Roman" w:eastAsia="宋体"/>
          <w:color w:val="000000"/>
          <w:sz w:val="21"/>
          <w:szCs w:val="21"/>
          <w:vertAlign w:val="superscript"/>
        </w:rPr>
        <w:t xml:space="preserve">[11]</w:t>
      </w:r>
      <w:r>
        <w:rPr>
          <w:rFonts w:ascii="Times New Roman" w:hAnsi="Times New Roman" w:eastAsia="宋体"/>
          <w:color w:val="000000"/>
          <w:sz w:val="21"/>
          <w:szCs w:val="21"/>
        </w:rPr>
        <w:t xml:space="preserve">流量矩阵。主实验均使用96步历史预测未来24步，规模及窗口数见表1。Abilene包含144个有效OD变量；GÉANT仅依据训练集标准差剔除恒定或近恒定变量后保留524个变量。两套数据分别按时间顺序以6∶2∶2划分，并独立训练和测试，预处理见第1.1节。</w:t>
      </w:r>
    </w:p>
    <w:p w14:paraId="686F5D46"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1 </w:t>
      </w:r>
      <w:r>
        <w:rPr>
          <w:rFonts w:eastAsia="黑体"/>
          <w:b/>
          <w:color w:val="000000"/>
          <w:sz w:val="18"/>
          <w:szCs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7532B958" w14:textId="77777777">
        <w:trPr>
          <w:cantSplit/>
          <w:tblHeader/>
          <w:jc w:val="center"/>
        </w:trPr>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35A474F" w14:textId="77777777" w:rsidR="00B14FA3" w:rsidRPr="00B14FA3" w:rsidRDefault="00B14FA3" w:rsidP="00593DFC">
            <w:pPr>
              <w:ind w:firstLine="0"/>
              <w:jc w:val="center"/>
            </w:pPr>
            <w:r>
              <w:rPr>
                <w:b/>
                <w:color w:val="000000"/>
                <w:szCs w:val="21"/>
              </w:rPr>
              <w:t>数据集</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96E655D" w14:textId="77777777" w:rsidR="00B14FA3" w:rsidRPr="00B14FA3" w:rsidRDefault="00B14FA3" w:rsidP="00593DFC">
            <w:pPr>
              <w:ind w:firstLine="0"/>
              <w:jc w:val="center"/>
            </w:pPr>
            <w:r>
              <w:rPr>
                <w:b/>
                <w:color w:val="000000"/>
                <w:szCs w:val="21"/>
              </w:rPr>
              <w:t>时间点</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B335515" w14:textId="77777777" w:rsidR="00B14FA3" w:rsidRPr="00B14FA3" w:rsidRDefault="00B14FA3" w:rsidP="00593DFC">
            <w:pPr>
              <w:ind w:firstLine="0"/>
              <w:jc w:val="center"/>
            </w:pPr>
            <w:r>
              <w:rPr>
                <w:b/>
                <w:color w:val="000000"/>
                <w:szCs w:val="21"/>
              </w:rPr>
              <w:t>有效变量</w:t>
            </w:r>
            <w:r>
              <w:rPr>
                <w:b/>
                <w:i/>
                <w:color w:val="000000"/>
                <w:szCs w:val="21"/>
              </w:rPr>
              <w:t>C</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B53FE97"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05AB95A"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3858B03" w14:textId="77777777" w:rsidR="00B14FA3" w:rsidRPr="00B14FA3" w:rsidRDefault="00B14FA3" w:rsidP="00593DFC">
            <w:pPr>
              <w:ind w:firstLine="0"/>
              <w:jc w:val="center"/>
            </w:pPr>
            <w:r>
              <w:rPr>
                <w:b/>
                <w:i/>
                <w:color w:val="000000"/>
                <w:szCs w:val="21"/>
              </w:rPr>
              <w:t>L/H</w:t>
            </w:r>
          </w:p>
        </w:tc>
      </w:tr>
      <w:tr w:rsidR="00B10182" w14:paraId="12A65AD1"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35FD5B35" w14:textId="77777777" w:rsidR="00B14FA3" w:rsidRPr="00B14FA3" w:rsidRDefault="00B14FA3" w:rsidP="00593DFC">
            <w:pPr>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53A0CC01" w14:textId="77777777" w:rsidR="00B14FA3" w:rsidRPr="00B14FA3" w:rsidRDefault="00B14FA3" w:rsidP="00593DFC">
            <w:pPr>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5ABF34B4" w14:textId="77777777" w:rsidR="00B14FA3" w:rsidRPr="00B14FA3" w:rsidRDefault="00B14FA3" w:rsidP="00593DFC">
            <w:pPr>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7455BE45" w14:textId="77777777" w:rsidR="00B14FA3" w:rsidRPr="00B14FA3" w:rsidRDefault="00B14FA3" w:rsidP="00593DFC">
            <w:pPr>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187157F4" w14:textId="77777777" w:rsidR="00B14FA3" w:rsidRPr="00B14FA3" w:rsidRDefault="00B14FA3" w:rsidP="00593DFC">
            <w:pPr>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4F47DAEB" w14:textId="77777777" w:rsidR="00B14FA3" w:rsidRPr="00B14FA3" w:rsidRDefault="00B14FA3" w:rsidP="00593DFC">
            <w:pPr>
              <w:ind w:firstLine="0"/>
              <w:jc w:val="left"/>
            </w:pPr>
            <w:r>
              <w:rPr>
                <w:color w:val="000000"/>
                <w:szCs w:val="21"/>
              </w:rPr>
              <w:t>96/24</w:t>
            </w:r>
          </w:p>
        </w:tc>
      </w:tr>
      <w:tr w:rsidR="00B10182" w14:paraId="4D9E017C" w14:textId="77777777">
        <w:trPr>
          <w:cantSplit/>
          <w:jc w:val="center"/>
        </w:trPr>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12F6B78E" w14:textId="77777777" w:rsidR="00B14FA3" w:rsidRPr="00B14FA3" w:rsidRDefault="00B14FA3" w:rsidP="00593DFC">
            <w:pPr>
              <w:ind w:firstLine="0"/>
              <w:jc w:val="left"/>
            </w:pPr>
            <w:r>
              <w:rPr>
                <w:color w:val="000000"/>
                <w:szCs w:val="21"/>
              </w:rPr>
              <w:t>GÉANT</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DEC7BD5" w14:textId="77777777" w:rsidR="00B14FA3" w:rsidRPr="00B14FA3" w:rsidRDefault="00B14FA3" w:rsidP="00593DFC">
            <w:pPr>
              <w:ind w:firstLine="0"/>
              <w:jc w:val="left"/>
            </w:pPr>
            <w:r>
              <w:rPr>
                <w:color w:val="000000"/>
                <w:szCs w:val="21"/>
              </w:rPr>
              <w:t>2849</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4576B87" w14:textId="77777777" w:rsidR="00B14FA3" w:rsidRPr="00B14FA3" w:rsidRDefault="00B14FA3" w:rsidP="00593DFC">
            <w:pPr>
              <w:ind w:firstLine="0"/>
              <w:jc w:val="left"/>
            </w:pPr>
            <w:r>
              <w:rPr>
                <w:color w:val="000000"/>
                <w:szCs w:val="21"/>
              </w:rPr>
              <w:t>524</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78C4E904" w14:textId="77777777" w:rsidR="00B14FA3" w:rsidRPr="00B14FA3" w:rsidRDefault="00B14FA3" w:rsidP="00593DFC">
            <w:pPr>
              <w:ind w:firstLine="0"/>
              <w:jc w:val="left"/>
            </w:pPr>
            <w:r>
              <w:rPr>
                <w:color w:val="000000"/>
                <w:szCs w:val="21"/>
              </w:rPr>
              <w:t>1709/570/570</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352C2987" w14:textId="77777777" w:rsidR="00B14FA3" w:rsidRPr="00B14FA3" w:rsidRDefault="00B14FA3" w:rsidP="00593DFC">
            <w:pPr>
              <w:ind w:firstLine="0"/>
              <w:jc w:val="left"/>
            </w:pPr>
            <w:r>
              <w:rPr>
                <w:color w:val="000000"/>
                <w:szCs w:val="21"/>
              </w:rPr>
              <w:t>1590/451/451</w:t>
            </w:r>
          </w:p>
        </w:tc>
        <w:tc>
          <w:tcPr>
            <w:tcW w:w="1000" w:type="dxa"/>
            <w:tcBorders>
              <w:top w:val="nil"/>
              <w:left w:val="nil"/>
              <w:bottom w:val="single" w:sz="8" w:space="0" w:color="000000"/>
              <w:right w:val="nil"/>
            </w:tcBorders>
            <w:tcMar>
              <w:top w:w="55" w:type="dxa"/>
              <w:left w:w="70" w:type="dxa"/>
              <w:bottom w:w="55" w:type="dxa"/>
              <w:right w:w="70" w:type="dxa"/>
            </w:tcMar>
            <w:vAlign w:val="center"/>
            <w:hideMark/>
          </w:tcPr>
          <w:p w14:paraId="7A41E93F" w14:textId="77777777" w:rsidR="00B14FA3" w:rsidRPr="00B14FA3" w:rsidRDefault="00B14FA3" w:rsidP="00593DFC">
            <w:pPr>
              <w:ind w:firstLine="0"/>
              <w:jc w:val="left"/>
            </w:pPr>
            <w:r>
              <w:rPr>
                <w:color w:val="000000"/>
                <w:szCs w:val="21"/>
              </w:rPr>
              <w:t>96/24</w:t>
            </w:r>
          </w:p>
        </w:tc>
      </w:tr>
    </w:tbl>
    <w:p>
      <w:pPr>
        <w:rPr>
          <w:color w:val="000000"/>
        </w:rPr>
      </w:pPr>
      <w:r>
        <w:rPr>
          <w:rFonts w:ascii="Times New Roman" w:hAnsi="Times New Roman" w:eastAsia="宋体"/>
          <w:color w:val="000000"/>
          <w:sz w:val="21"/>
          <w:szCs w:val="21"/>
        </w:rPr>
        <w:t xml:space="preserve">按1 h采样点数量折算，两套数据的总观测量约为194.0 d和118.7 d，训练部分约为116.4 d和71.2 d。相邻滑动窗口有重叠，表1窗口数不等于独立观测数，OD变量数也不等于独立网络数。上述数据量可用于所设模型的离线比较，但不足以覆盖长期季节变化及复杂业务变化；增加随机种子不能弥补这一覆盖不足。</w:t>
      </w:r>
    </w:p>
    <w:p w14:paraId="41ABC598" w14:textId="0E28B8B3" w:rsidR="00B14FA3" w:rsidRPr="00B14FA3" w:rsidRDefault="00B14FA3" w:rsidP="00593DFC">
      <w:r>
        <w:rPr>
          <w:color w:val="000000"/>
          <w:szCs w:val="21"/>
        </w:rPr>
        <w:t>对比设置包括单尺度</w:t>
      </w:r>
      <w:r>
        <w:rPr>
          <w:color w:val="000000"/>
          <w:szCs w:val="21"/>
        </w:rPr>
        <w:t>DLinear</w:t>
      </w:r>
      <w:r>
        <w:rPr>
          <w:color w:val="000000"/>
          <w:szCs w:val="21"/>
        </w:rPr>
        <w:t>、独立轻量基线</w:t>
      </w:r>
      <w:r>
        <w:rPr>
          <w:color w:val="000000"/>
          <w:szCs w:val="21"/>
        </w:rPr>
        <w:t>LightTS</w:t>
      </w:r>
      <w:r>
        <w:rPr>
          <w:color w:val="000000"/>
          <w:szCs w:val="21"/>
        </w:rPr>
        <w:t>、固定等权多尺度、全局可学习权重、恒定输入路由及本文方法。四种多尺度模型采用相同的</w:t>
      </w:r>
      <w:r>
        <w:rPr>
          <w:color w:val="000000"/>
          <w:szCs w:val="21"/>
        </w:rPr>
        <w:t>DLinear</w:t>
      </w:r>
      <w:r>
        <w:rPr>
          <w:color w:val="000000"/>
          <w:szCs w:val="21"/>
        </w:rPr>
        <w:t>主干和尺度集合</w:t>
      </w:r>
      <w:r>
        <w:rPr>
          <w:color w:val="000000"/>
          <w:szCs w:val="21"/>
        </w:rPr>
        <w:t>{1,2,4}</w:t>
      </w:r>
      <w:r>
        <w:rPr>
          <w:color w:val="000000"/>
          <w:szCs w:val="21"/>
        </w:rPr>
        <w:t>，</w:t>
      </w:r>
      <w:r w:rsidR="003F616F">
        <w:rPr>
          <w:rFonts w:hint="eastAsia"/>
          <w:color w:val="000000"/>
          <w:szCs w:val="21"/>
        </w:rPr>
        <w:t>对</w:t>
      </w:r>
      <w:r>
        <w:rPr>
          <w:color w:val="000000"/>
          <w:szCs w:val="21"/>
        </w:rPr>
        <w:t>不同融合方式</w:t>
      </w:r>
      <w:r w:rsidR="003F616F">
        <w:rPr>
          <w:rFonts w:hint="eastAsia"/>
          <w:color w:val="000000"/>
          <w:szCs w:val="21"/>
        </w:rPr>
        <w:t>进行比较</w:t>
      </w:r>
      <w:r>
        <w:rPr>
          <w:color w:val="000000"/>
          <w:szCs w:val="21"/>
        </w:rPr>
        <w:t>。</w:t>
      </w:r>
    </w:p>
    <w:p w14:paraId="75C81FFF" w14:textId="20FF0BBF" w:rsidR="00B14FA3" w:rsidRPr="00B14FA3" w:rsidRDefault="00B14FA3" w:rsidP="00593DFC">
      <w:r>
        <w:rPr>
          <w:color w:val="000000"/>
          <w:szCs w:val="21"/>
        </w:rPr>
        <w:t>本实验</w:t>
      </w:r>
      <w:r w:rsidR="003F616F">
        <w:rPr>
          <w:rFonts w:hint="eastAsia"/>
          <w:color w:val="000000"/>
          <w:szCs w:val="21"/>
        </w:rPr>
        <w:t>对</w:t>
      </w:r>
      <w:r>
        <w:rPr>
          <w:color w:val="000000"/>
          <w:szCs w:val="21"/>
        </w:rPr>
        <w:t>三类融合</w:t>
      </w:r>
      <w:r w:rsidR="003F616F">
        <w:rPr>
          <w:rFonts w:hint="eastAsia"/>
          <w:color w:val="000000"/>
          <w:szCs w:val="21"/>
        </w:rPr>
        <w:t>进行</w:t>
      </w:r>
      <w:r>
        <w:rPr>
          <w:color w:val="000000"/>
          <w:szCs w:val="21"/>
        </w:rPr>
        <w:t>对照：固定等权模型</w:t>
      </w:r>
      <w:r w:rsidR="003F616F">
        <w:rPr>
          <w:rFonts w:hint="eastAsia"/>
          <w:color w:val="000000"/>
          <w:szCs w:val="21"/>
        </w:rPr>
        <w:t>中</w:t>
      </w:r>
      <w:r>
        <w:rPr>
          <w:color w:val="000000"/>
          <w:szCs w:val="21"/>
        </w:rPr>
        <w:t>各尺度权重设为</w:t>
      </w:r>
      <w:r>
        <w:rPr>
          <w:color w:val="000000"/>
          <w:szCs w:val="21"/>
        </w:rPr>
        <w:t>1/3</w:t>
      </w:r>
      <w:r>
        <w:rPr>
          <w:color w:val="000000"/>
          <w:szCs w:val="21"/>
        </w:rPr>
        <w:t>；全局权重模型</w:t>
      </w:r>
      <w:r w:rsidR="003F616F">
        <w:rPr>
          <w:rFonts w:hint="eastAsia"/>
          <w:color w:val="000000"/>
          <w:szCs w:val="21"/>
        </w:rPr>
        <w:t>使用</w:t>
      </w:r>
      <w:r>
        <w:rPr>
          <w:color w:val="000000"/>
          <w:szCs w:val="21"/>
        </w:rPr>
        <w:t>3</w:t>
      </w:r>
      <w:r>
        <w:rPr>
          <w:color w:val="000000"/>
          <w:szCs w:val="21"/>
        </w:rPr>
        <w:t>个由等权初始化的可训练参数，</w:t>
      </w:r>
      <w:r w:rsidR="003F616F">
        <w:rPr>
          <w:rFonts w:hint="eastAsia"/>
          <w:color w:val="000000"/>
          <w:szCs w:val="21"/>
        </w:rPr>
        <w:t>由</w:t>
      </w:r>
      <w:r>
        <w:rPr>
          <w:color w:val="000000"/>
          <w:szCs w:val="21"/>
        </w:rPr>
        <w:t>Softmax</w:t>
      </w:r>
      <w:r>
        <w:rPr>
          <w:color w:val="000000"/>
          <w:szCs w:val="21"/>
        </w:rPr>
        <w:t>生成全局固定权重；恒定输入路由保留本文方法的路由网络，训练与推理均输入全零特征向量，使所有窗口共用融合权重。三类对照的专家均接收真实历史窗口</w:t>
      </w:r>
      <w:r w:rsidR="003F616F">
        <w:rPr>
          <w:rFonts w:hint="eastAsia"/>
          <w:color w:val="000000"/>
          <w:szCs w:val="21"/>
        </w:rPr>
        <w:t>数据</w:t>
      </w:r>
      <w:r>
        <w:rPr>
          <w:color w:val="000000"/>
          <w:szCs w:val="21"/>
        </w:rPr>
        <w:t>，用于区分多尺度信息、非等权融合与输入相关分配的作用。</w:t>
      </w:r>
    </w:p>
    <w:p w14:paraId="5DAB71CF" w14:textId="0E840129" w:rsidR="003F616F" w:rsidRDefault="003F616F" w:rsidP="00593DFC">
      <w:pPr>
        <w:widowControl/>
        <w:rPr>
          <w:color w:val="000000"/>
          <w:szCs w:val="21"/>
        </w:rPr>
      </w:pPr>
      <w:r>
        <w:rPr>
          <w:rFonts w:ascii="Times New Roman" w:hAnsi="Times New Roman" w:eastAsia="宋体"/>
          <w:color w:val="000000"/>
          <w:sz w:val="21"/>
          <w:szCs w:val="21"/>
        </w:rPr>
        <w:t xml:space="preserve">各模型使用相同的数据划分、输入长度、主实验预测长度和评价指标，批量大小均为16，优化器均为Adam；超参数预先固定，未对各模型分别搜索。可训练融合参数与尺度专家共同优化，以验证集MSE选择检查点。DLinear及各多尺度模型的学习率为0.001，最多训练30轮，早停耐心值为6；LightTS的学习率为0.0001，最多50轮，早停耐心值为10。因此，表2反映这些固定配置下的比较，不代表各基线经充分调优后的最优性能。</w:t>
      </w:r>
    </w:p>
    <w:p w14:paraId="70E03E13" w14:textId="76A61CCA" w:rsidR="00B14FA3" w:rsidRPr="00B14FA3" w:rsidRDefault="00B14FA3" w:rsidP="00593DFC">
      <w:pPr>
        <w:widowControl/>
      </w:pPr>
      <w:r>
        <w:rPr>
          <w:color w:val="000000"/>
          <w:szCs w:val="21"/>
        </w:rPr>
        <w:t>LightTS</w:t>
      </w:r>
      <w:r>
        <w:rPr>
          <w:color w:val="000000"/>
          <w:szCs w:val="21"/>
        </w:rPr>
        <w:t>采用清华大学软件学院机器学习组的公开实现，分块长度为</w:t>
      </w:r>
      <w:r>
        <w:rPr>
          <w:color w:val="000000"/>
          <w:szCs w:val="21"/>
        </w:rPr>
        <w:t>24</w:t>
      </w:r>
      <w:r>
        <w:rPr>
          <w:color w:val="000000"/>
          <w:szCs w:val="21"/>
        </w:rPr>
        <w:t>，模型维度参数为</w:t>
      </w:r>
      <w:r>
        <w:rPr>
          <w:color w:val="000000"/>
          <w:szCs w:val="21"/>
        </w:rPr>
        <w:t>512</w:t>
      </w:r>
      <w:r>
        <w:rPr>
          <w:color w:val="000000"/>
          <w:szCs w:val="21"/>
        </w:rPr>
        <w:t>。</w:t>
      </w:r>
      <w:r>
        <w:rPr>
          <w:color w:val="000000"/>
          <w:szCs w:val="21"/>
        </w:rPr>
        <w:t>DLinear</w:t>
      </w:r>
      <w:r>
        <w:rPr>
          <w:color w:val="000000"/>
          <w:szCs w:val="21"/>
        </w:rPr>
        <w:t>及各尺度专家按文献</w:t>
      </w:r>
      <w:r>
        <w:rPr>
          <w:color w:val="000000"/>
          <w:szCs w:val="21"/>
          <w:vertAlign w:val="superscript"/>
        </w:rPr>
        <w:t>[6]</w:t>
      </w:r>
      <w:r>
        <w:rPr>
          <w:color w:val="000000"/>
          <w:szCs w:val="21"/>
        </w:rPr>
        <w:t>实现，移动平均窗口长度为</w:t>
      </w:r>
      <w:r>
        <w:rPr>
          <w:color w:val="000000"/>
          <w:szCs w:val="21"/>
        </w:rPr>
        <w:t>25</w:t>
      </w:r>
      <w:r>
        <w:rPr>
          <w:color w:val="000000"/>
          <w:szCs w:val="21"/>
        </w:rPr>
        <w:t>，路由隐藏层维度设为</w:t>
      </w:r>
      <w:r>
        <w:rPr>
          <w:color w:val="000000"/>
          <w:szCs w:val="21"/>
        </w:rPr>
        <w:t>16</w:t>
      </w:r>
      <w:r>
        <w:rPr>
          <w:color w:val="000000"/>
          <w:szCs w:val="21"/>
        </w:rPr>
        <w:t>。</w:t>
      </w:r>
      <w:r>
        <w:rPr>
          <w:color w:val="000000"/>
          <w:szCs w:val="21"/>
        </w:rPr>
        <w:t>Python 3.11.9</w:t>
      </w:r>
      <w:r>
        <w:rPr>
          <w:color w:val="000000"/>
          <w:szCs w:val="21"/>
        </w:rPr>
        <w:t>和</w:t>
      </w:r>
      <w:r>
        <w:rPr>
          <w:color w:val="000000"/>
          <w:szCs w:val="21"/>
        </w:rPr>
        <w:t>PyTorch 2.5.1</w:t>
      </w:r>
      <w:r>
        <w:rPr>
          <w:color w:val="000000"/>
          <w:szCs w:val="21"/>
        </w:rPr>
        <w:t>为本实验的软件版本。</w:t>
      </w:r>
    </w:p>
    <w:p w14:paraId="65BA4CE5" w14:textId="6F2F3261" w:rsidR="00917D78" w:rsidRDefault="005378A1" w:rsidP="00593DFC">
      <w:pPr>
        <w:widowControl/>
      </w:pPr>
      <w:r>
        <w:rPr>
          <w:rFonts w:ascii="Times New Roman" w:hAnsi="Times New Roman" w:eastAsia="宋体"/>
          <w:color w:val="000000"/>
          <w:sz w:val="21"/>
          <w:szCs w:val="21"/>
        </w:rPr>
        <w:t xml:space="preserve">外部基线比较采用42～44三个共同随机种子；核心消融采用42～49八个共同随机种子。补充的12 h预测仅比较全局可学习权重与本文方法，保持数据划分、历史长度、批量大小和优化设置不变，并按相同八个种子重新训练。两套数据的训练、验证、测试窗口数在12 h设置下分别为2686/824/825和1602/463/463。</w:t>
      </w:r>
    </w:p>
    <w:p w14:paraId="3724DFE8" w14:textId="781CF975" w:rsidR="00B14FA3" w:rsidRPr="00B14FA3" w:rsidRDefault="00B14FA3" w:rsidP="00593DFC">
      <w:r>
        <w:rPr>
          <w:color w:val="000000"/>
          <w:szCs w:val="21"/>
        </w:rPr>
        <w:t>均方误差（</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）及均方根误差（</w:t>
      </w:r>
      <w:r>
        <w:rPr>
          <w:color w:val="000000"/>
          <w:szCs w:val="21"/>
        </w:rPr>
        <w:t>root mean squared error</w:t>
      </w:r>
      <w:r>
        <w:rPr>
          <w:color w:val="000000"/>
          <w:szCs w:val="21"/>
        </w:rPr>
        <w:t>，</w:t>
      </w:r>
      <w:r>
        <w:rPr>
          <w:color w:val="000000"/>
          <w:szCs w:val="21"/>
        </w:rPr>
        <w:t>RMSE</w:t>
      </w:r>
      <w:r>
        <w:rPr>
          <w:color w:val="000000"/>
          <w:szCs w:val="21"/>
        </w:rPr>
        <w:t>）用于评价预测性能。测试集</w:t>
      </w:r>
      <w:r>
        <w:rPr>
          <w:color w:val="000000"/>
          <w:szCs w:val="21"/>
        </w:rPr>
        <w:t>MSE</w:t>
      </w:r>
      <w:r>
        <w:rPr>
          <w:color w:val="000000"/>
          <w:szCs w:val="21"/>
        </w:rPr>
        <w:t>按式（</w:t>
      </w:r>
      <w:r>
        <w:rPr>
          <w:color w:val="000000"/>
          <w:szCs w:val="21"/>
        </w:rPr>
        <w:t>14</w:t>
      </w:r>
      <w:r>
        <w:rPr>
          <w:color w:val="000000"/>
          <w:szCs w:val="21"/>
        </w:rPr>
        <w:t>）计算，样本数取测试窗口数；式（</w:t>
      </w:r>
      <w:r>
        <w:rPr>
          <w:color w:val="000000"/>
          <w:szCs w:val="21"/>
        </w:rPr>
        <w:t>15</w:t>
      </w:r>
      <w:r>
        <w:rPr>
          <w:color w:val="000000"/>
          <w:szCs w:val="21"/>
        </w:rPr>
        <w:t>）中的</w:t>
      </w:r>
      <w:r>
        <w:rPr>
          <w:i/>
          <w:color w:val="000000"/>
          <w:szCs w:val="21"/>
        </w:rPr>
        <w:t>N</w:t>
      </w:r>
      <w:r>
        <w:rPr>
          <w:color w:val="000000"/>
          <w:szCs w:val="21"/>
          <w:vertAlign w:val="subscript"/>
        </w:rPr>
        <w:t>te</w:t>
      </w:r>
      <w:r>
        <w:rPr>
          <w:color w:val="000000"/>
          <w:szCs w:val="21"/>
        </w:rPr>
        <w:t>为测试样本数。</w:t>
      </w:r>
      <w:r>
        <w:rPr>
          <w:color w:val="000000"/>
          <w:szCs w:val="21"/>
        </w:rPr>
        <w:t>MAE</w:t>
      </w:r>
      <w:r>
        <w:rPr>
          <w:color w:val="000000"/>
          <w:szCs w:val="21"/>
        </w:rPr>
        <w:t>和</w:t>
      </w:r>
      <w:r>
        <w:rPr>
          <w:color w:val="000000"/>
          <w:szCs w:val="21"/>
        </w:rPr>
        <w:t>RMSE</w:t>
      </w:r>
      <w:r>
        <w:rPr>
          <w:color w:val="000000"/>
          <w:szCs w:val="21"/>
        </w:rPr>
        <w:t>定义如下</w:t>
      </w:r>
    </w:p>
    <w:p w14:paraId="1CAEA4A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14:paraId="57F36213" w14:textId="79C45080" w:rsidR="00B14FA3" w:rsidRPr="00B14FA3" w:rsidRDefault="00D61130" w:rsidP="00593DFC">
      <w:pPr>
        <w:widowControl/>
      </w:pPr>
      <w:r>
        <w:rPr>
          <w:rFonts w:ascii="Times New Roman" w:hAnsi="Times New Roman" w:eastAsia="宋体"/>
          <w:color w:val="000000"/>
          <w:sz w:val="21"/>
          <w:szCs w:val="21"/>
        </w:rPr>
        <w:t xml:space="preserve">所有指标在对数变换及逐变量标准化后的空间计算，数值越小表示误差越低，不能直接解释为原始流量或链路负载的误差。表2和表3分别报告三个、八个种子的均值±样本标准差。改进率按共同种子逐一计算，即对照与本文方法的误差之差除以对照误差，再取平均；不使用表内舍入值计算。八种子改进率的95%置信区间使用自由度7的t分布和种子间标准误。该区间仅描述固定数据划分下的训练随机性，不代表跨网络不确定性；重叠测试窗口不作为独立重复，本文不据此进行显著性检验。</w:t>
      </w:r>
    </w:p>
    <w:p w14:paraId="2F0652BD" w14:textId="77777777" w:rsidR="00B14FA3" w:rsidRPr="00B14FA3" w:rsidRDefault="00B14FA3" w:rsidP="00593DFC">
      <w:pPr>
        <w:keepNext/>
        <w:spacing w:before="80" w:after="20"/>
        <w:ind w:firstLine="0"/>
        <w:jc w:val="left"/>
        <w:outlineLvl w:val="1"/>
        <w:rPr>
          <w:rFonts w:eastAsia="黑体"/>
          <w:b/>
          <w:bCs/>
          <w:szCs w:val="32"/>
        </w:rPr>
      </w:pPr>
      <w:r>
        <w:rPr>
          <w:rFonts w:eastAsia="黑体"/>
          <w:b/>
          <w:bCs/>
          <w:color w:val="000000"/>
          <w:szCs w:val="21"/>
        </w:rPr>
        <w:lastRenderedPageBreak/>
        <w:t xml:space="preserve">2.2 </w:t>
      </w:r>
      <w:r>
        <w:rPr>
          <w:rFonts w:eastAsia="黑体"/>
          <w:b/>
          <w:bCs/>
          <w:color w:val="000000"/>
          <w:szCs w:val="21"/>
        </w:rPr>
        <w:t>总体预测性能与基线比较</w:t>
      </w:r>
    </w:p>
    <w:p w14:paraId="20A0DC5A" w14:textId="77777777" w:rsidR="00B14FA3" w:rsidRPr="00B14FA3" w:rsidRDefault="00B14FA3" w:rsidP="00593DFC">
      <w:r>
        <w:rPr>
          <w:rFonts w:ascii="Times New Roman" w:hAnsi="Times New Roman" w:eastAsia="宋体"/>
          <w:color w:val="000000"/>
          <w:sz w:val="21"/>
          <w:szCs w:val="21"/>
        </w:rPr>
        <w:t xml:space="preserve">表2报告三个共同随机种子的基线结果。在本实验配置下，本文方法在Abilene和GÉANT上的逐种子平均MSE相对DLinear分别降低4.07%和4.54%，相对LightTS分别降低29.80%和46.89%。图2补充各指标的逐种子改进率及参数比例。</w:t>
      </w:r>
    </w:p>
    <w:p w14:paraId="56322B4E"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2 </w:t>
      </w:r>
      <w:r>
        <w:rPr>
          <w:rFonts w:eastAsia="黑体"/>
          <w:b/>
          <w:color w:val="000000"/>
          <w:sz w:val="18"/>
          <w:szCs w:val="18"/>
        </w:rPr>
        <w:t>三随机种子基线模型比较（均值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1ED727BF"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DB43B88"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65CB555"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DA5716C"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EFCF329"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90924D6" w14:textId="77777777" w:rsidR="00B14FA3" w:rsidRPr="00B14FA3" w:rsidRDefault="00B14FA3" w:rsidP="00593DFC">
            <w:pPr>
              <w:ind w:firstLine="0"/>
              <w:jc w:val="center"/>
            </w:pPr>
            <w:r>
              <w:rPr>
                <w:b/>
                <w:color w:val="000000"/>
                <w:szCs w:val="21"/>
              </w:rPr>
              <w:t>MAE</w:t>
            </w:r>
          </w:p>
        </w:tc>
      </w:tr>
      <w:tr w:rsidR="00B10182" w14:paraId="16594075"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F1C837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3ECEF4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3A38E3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492D81F"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707A13DF" w14:textId="77777777" w:rsidR="00B14FA3" w:rsidRPr="00B14FA3" w:rsidRDefault="00B14FA3" w:rsidP="00593DFC">
            <w:pPr>
              <w:ind w:firstLine="0"/>
              <w:jc w:val="left"/>
            </w:pPr>
            <w:r>
              <w:rPr>
                <w:color w:val="000000"/>
                <w:szCs w:val="21"/>
              </w:rPr>
              <w:t>0.188±0.009</w:t>
            </w:r>
          </w:p>
        </w:tc>
      </w:tr>
      <w:tr w:rsidR="00B10182" w14:paraId="1D1B013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90A9873"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26876CB7"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3462628D" w14:textId="77777777" w:rsidR="00B14FA3" w:rsidRPr="00B14FA3" w:rsidRDefault="00B14FA3" w:rsidP="00593DFC">
            <w:pPr>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3D6B8C4C" w14:textId="77777777" w:rsidR="00B14FA3" w:rsidRPr="00B14FA3" w:rsidRDefault="00B14FA3" w:rsidP="00593DFC">
            <w:pPr>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61F2079D" w14:textId="77777777" w:rsidR="00B14FA3" w:rsidRPr="00B14FA3" w:rsidRDefault="00B14FA3" w:rsidP="00593DFC">
            <w:pPr>
              <w:ind w:firstLine="0"/>
              <w:jc w:val="left"/>
            </w:pPr>
            <w:r>
              <w:rPr>
                <w:color w:val="000000"/>
                <w:szCs w:val="21"/>
              </w:rPr>
              <w:t>0.204±0.008</w:t>
            </w:r>
          </w:p>
        </w:tc>
      </w:tr>
      <w:tr w:rsidR="00B10182" w14:paraId="7493FD2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00AFD31"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0A00297"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59020C4"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545C4BE" w14:textId="77777777" w:rsidR="00B14FA3" w:rsidRPr="00B14FA3" w:rsidRDefault="00B14FA3" w:rsidP="00593DFC">
            <w:pPr>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60994FB7" w14:textId="77777777" w:rsidR="00B14FA3" w:rsidRPr="00B14FA3" w:rsidRDefault="00B14FA3" w:rsidP="00593DFC">
            <w:pPr>
              <w:ind w:firstLine="0"/>
              <w:jc w:val="left"/>
            </w:pPr>
            <w:r>
              <w:rPr>
                <w:color w:val="000000"/>
                <w:szCs w:val="21"/>
              </w:rPr>
              <w:t>0.168±0.001</w:t>
            </w:r>
          </w:p>
        </w:tc>
      </w:tr>
      <w:tr w:rsidR="00B10182" w14:paraId="378270B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C6329D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349F0C2"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6A6047D"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1A070A3A" w14:textId="77777777" w:rsidR="00B14FA3" w:rsidRPr="00B14FA3" w:rsidRDefault="00B14FA3" w:rsidP="00593DFC">
            <w:pPr>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1B200C3E" w14:textId="77777777" w:rsidR="00B14FA3" w:rsidRPr="00B14FA3" w:rsidRDefault="00B14FA3" w:rsidP="00593DFC">
            <w:pPr>
              <w:ind w:firstLine="0"/>
              <w:jc w:val="left"/>
            </w:pPr>
            <w:r>
              <w:rPr>
                <w:color w:val="000000"/>
                <w:szCs w:val="21"/>
              </w:rPr>
              <w:t>0.383±0.006</w:t>
            </w:r>
          </w:p>
        </w:tc>
      </w:tr>
      <w:tr w:rsidR="00B10182" w14:paraId="703D41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22A7C7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52F68BBE" w14:textId="77777777" w:rsidR="00B14FA3" w:rsidRPr="00B14FA3" w:rsidRDefault="00B14FA3" w:rsidP="00593DFC">
            <w:pPr>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75BEB0A" w14:textId="77777777" w:rsidR="00B14FA3" w:rsidRPr="00B14FA3" w:rsidRDefault="00B14FA3" w:rsidP="00593DFC">
            <w:pPr>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7C54B180" w14:textId="77777777" w:rsidR="00B14FA3" w:rsidRPr="00B14FA3" w:rsidRDefault="00B14FA3" w:rsidP="00593DFC">
            <w:pPr>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582A77A8" w14:textId="77777777" w:rsidR="00B14FA3" w:rsidRPr="00B14FA3" w:rsidRDefault="00B14FA3" w:rsidP="00593DFC">
            <w:pPr>
              <w:ind w:firstLine="0"/>
              <w:jc w:val="left"/>
            </w:pPr>
            <w:r>
              <w:rPr>
                <w:color w:val="000000"/>
                <w:szCs w:val="21"/>
              </w:rPr>
              <w:t>0.523±0.014</w:t>
            </w:r>
          </w:p>
        </w:tc>
      </w:tr>
      <w:tr w:rsidR="00B10182" w14:paraId="08AB8126"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78F81AF9"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612FC50E"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00A79B02"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38F244F0" w14:textId="77777777" w:rsidR="00B14FA3" w:rsidRPr="00B14FA3" w:rsidRDefault="00B14FA3" w:rsidP="00593DFC">
            <w:pPr>
              <w:ind w:firstLine="0"/>
              <w:jc w:val="left"/>
            </w:pPr>
            <w:r>
              <w:rPr>
                <w:color w:val="000000"/>
                <w:szCs w:val="21"/>
              </w:rPr>
              <w:t>0.434±0.051</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414B8148" w14:textId="77777777" w:rsidR="00B14FA3" w:rsidRPr="00B14FA3" w:rsidRDefault="00B14FA3" w:rsidP="00593DFC">
            <w:pPr>
              <w:ind w:firstLine="0"/>
              <w:jc w:val="left"/>
            </w:pPr>
            <w:r>
              <w:rPr>
                <w:color w:val="000000"/>
                <w:szCs w:val="21"/>
              </w:rPr>
              <w:t>0.370±0.031</w:t>
            </w:r>
          </w:p>
        </w:tc>
      </w:tr>
    </w:tbl>
    <w:p w14:paraId="3686480D" w14:textId="77777777" w:rsidR="00917D78" w:rsidRDefault="00000000" w:rsidP="00593DFC">
      <w:pPr>
        <w:jc w:val="center"/>
      </w:pPr>
      <w:r>
        <w:rPr>
          <w:noProof/>
          <w:color w:val="000000"/>
          <w:szCs w:val="21"/>
        </w:rPr>
        <w:drawing>
          <wp:inline distT="0" distB="0" distL="0" distR="0" wp14:anchorId="1B3CD30F" wp14:editId="07799E59">
            <wp:extent cx="5829300" cy="28514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ightts_improvement_heatstrip.png"/>
                    <pic:cNvPicPr/>
                  </pic:nvPicPr>
                  <pic:blipFill>
                    <a:blip r:embed="rId7"/>
                    <a:stretch>
                      <a:fillRect/>
                    </a:stretch>
                  </pic:blipFill>
                  <pic:spPr>
                    <a:xfrm>
                      <a:off x="0" y="0"/>
                      <a:ext cx="5829300" cy="2851404"/>
                    </a:xfrm>
                    <a:prstGeom prst="rect">
                      <a:avLst/>
                    </a:prstGeom>
                  </pic:spPr>
                </pic:pic>
              </a:graphicData>
            </a:graphic>
          </wp:inline>
        </w:drawing>
      </w:r>
    </w:p>
    <w:p w14:paraId="5886EBDE"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2 </w:t>
      </w:r>
      <w:r>
        <w:rPr>
          <w:rFonts w:eastAsia="黑体"/>
          <w:b/>
          <w:color w:val="000000"/>
          <w:sz w:val="18"/>
          <w:szCs w:val="18"/>
        </w:rPr>
        <w:t>相对</w:t>
      </w:r>
      <w:r>
        <w:rPr>
          <w:rFonts w:eastAsia="黑体"/>
          <w:b/>
          <w:color w:val="000000"/>
          <w:sz w:val="18"/>
          <w:szCs w:val="18"/>
        </w:rPr>
        <w:t>LightTS</w:t>
      </w:r>
      <w:r>
        <w:rPr>
          <w:rFonts w:eastAsia="黑体"/>
          <w:b/>
          <w:color w:val="000000"/>
          <w:sz w:val="18"/>
          <w:szCs w:val="18"/>
        </w:rPr>
        <w:t>的误差降低率与参数规模</w:t>
      </w:r>
    </w:p>
    <w:p w14:paraId="49E0E69E" w14:textId="77777777" w:rsidR="00B14FA3" w:rsidRPr="00B14FA3" w:rsidRDefault="00B14FA3" w:rsidP="00593DFC">
      <w:r>
        <w:rPr>
          <w:rFonts w:ascii="Times New Roman" w:hAnsi="Times New Roman" w:eastAsia="宋体"/>
          <w:color w:val="000000"/>
          <w:sz w:val="21"/>
          <w:szCs w:val="21"/>
        </w:rPr>
        <w:t xml:space="preserve">两个数据集的三个共同种子中，本文方法相对LightTS的MSE、MAE和RMSE均降低。8339个参数分别约为LightTS参数量的6.41%和2.17%。这一结果说明本文方法在所设轻量基线下具有参数规模优势，不能据此推断其优于其他类型的流量预测模型。</w:t>
      </w:r>
    </w:p>
    <w:p w14:paraId="53FC2AE4" w14:textId="77777777" w:rsidR="00917D78" w:rsidRDefault="00000000" w:rsidP="00593DFC">
      <w:r>
        <w:rPr>
          <w:rFonts w:ascii="Times New Roman" w:hAnsi="Times New Roman" w:eastAsia="宋体"/>
          <w:color w:val="000000"/>
          <w:sz w:val="21"/>
          <w:szCs w:val="21"/>
        </w:rPr>
        <w:t xml:space="preserve">以下使用相同的多尺度专家比较融合方式，以减小主干结构差异对结果解释的影响。</w:t>
      </w:r>
    </w:p>
    <w:p w14:paraId="0C065176" w14:textId="77777777" w:rsidR="00B14FA3" w:rsidRPr="00B14FA3" w:rsidRDefault="00B14FA3" w:rsidP="00593DFC">
      <w:pPr>
        <w:pageBreakBefore/>
        <w:spacing w:before="80" w:after="20"/>
        <w:ind w:firstLine="0"/>
        <w:jc w:val="left"/>
        <w:outlineLvl w:val="1"/>
        <w:rPr>
          <w:rFonts w:eastAsia="黑体"/>
          <w:b/>
          <w:bCs/>
          <w:szCs w:val="32"/>
        </w:rPr>
      </w:pPr>
      <w:r>
        <w:rPr>
          <w:rFonts w:ascii="Times New Roman" w:hAnsi="Times New Roman" w:eastAsia="黑体"/>
          <w:color w:val="000000"/>
          <w:sz w:val="24"/>
          <w:szCs w:val="24"/>
          <w:b/>
        </w:rPr>
        <w:t xml:space="preserve">2.3 融合方式消融与预测长度影响</w:t>
      </w:r>
    </w:p>
    <w:p w14:paraId="696FCD2B" w14:textId="77777777" w:rsidR="00B14FA3" w:rsidRPr="00B14FA3" w:rsidRDefault="00B14FA3" w:rsidP="00593DFC">
      <w:r>
        <w:rPr>
          <w:rFonts w:ascii="Times New Roman" w:hAnsi="Times New Roman" w:eastAsia="宋体"/>
          <w:color w:val="000000"/>
          <w:sz w:val="21"/>
          <w:szCs w:val="21"/>
        </w:rPr>
        <w:t xml:space="preserve">表3报告八个共同种子的消融结果。该设置比表2增加了训练重复次数，但未增加独立的流量观测数据。</w:t>
      </w:r>
    </w:p>
    <w:p w14:paraId="011ED865"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3 </w:t>
      </w:r>
      <w:r>
        <w:rPr>
          <w:rFonts w:eastAsia="黑体"/>
          <w:b/>
          <w:color w:val="000000"/>
          <w:sz w:val="18"/>
          <w:szCs w:val="18"/>
        </w:rPr>
        <w:t>八随机种子消融实验结果（均值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4770A309"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7605224"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53BF270"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7D0A358"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A17314D"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6CB11A4" w14:textId="77777777" w:rsidR="00B14FA3" w:rsidRPr="00B14FA3" w:rsidRDefault="00B14FA3" w:rsidP="00593DFC">
            <w:pPr>
              <w:ind w:firstLine="0"/>
              <w:jc w:val="center"/>
            </w:pPr>
            <w:r>
              <w:rPr>
                <w:b/>
                <w:color w:val="000000"/>
                <w:szCs w:val="21"/>
              </w:rPr>
              <w:t>MAE</w:t>
            </w:r>
          </w:p>
        </w:tc>
      </w:tr>
      <w:tr w:rsidR="00B10182" w14:paraId="6B381E3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72B5DA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5B55B4F"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797CDF0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6842C7D"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7AB8C74" w14:textId="77777777" w:rsidR="00B14FA3" w:rsidRPr="00B14FA3" w:rsidRDefault="00B14FA3" w:rsidP="00593DFC">
            <w:pPr>
              <w:ind w:firstLine="0"/>
              <w:jc w:val="left"/>
            </w:pPr>
            <w:r>
              <w:rPr>
                <w:color w:val="000000"/>
                <w:szCs w:val="21"/>
              </w:rPr>
              <w:t>0.189±0.008</w:t>
            </w:r>
          </w:p>
        </w:tc>
      </w:tr>
      <w:tr w:rsidR="00B10182" w14:paraId="1F8B73F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EB5F1F"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7AAD04F2"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5AA3AC34"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4121D22"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5F47DD0" w14:textId="77777777" w:rsidR="00B14FA3" w:rsidRPr="00B14FA3" w:rsidRDefault="00B14FA3" w:rsidP="00593DFC">
            <w:pPr>
              <w:ind w:firstLine="0"/>
              <w:jc w:val="left"/>
            </w:pPr>
            <w:r>
              <w:rPr>
                <w:color w:val="000000"/>
                <w:szCs w:val="21"/>
              </w:rPr>
              <w:t>0.191±0.006</w:t>
            </w:r>
          </w:p>
        </w:tc>
      </w:tr>
      <w:tr w:rsidR="00B10182" w14:paraId="0DA70BB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3EBED85"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D03E2A7"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91B0A9E"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0D732319"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15162571" w14:textId="77777777" w:rsidR="00B14FA3" w:rsidRPr="00B14FA3" w:rsidRDefault="00B14FA3" w:rsidP="00593DFC">
            <w:pPr>
              <w:ind w:firstLine="0"/>
              <w:jc w:val="left"/>
            </w:pPr>
            <w:r>
              <w:rPr>
                <w:color w:val="000000"/>
                <w:szCs w:val="21"/>
              </w:rPr>
              <w:t>0.190±0.006</w:t>
            </w:r>
          </w:p>
        </w:tc>
      </w:tr>
      <w:tr w:rsidR="00B10182" w14:paraId="79B6905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C7A012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F8B883E"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36F68026"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99F128A"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696FEB7" w14:textId="77777777" w:rsidR="00B14FA3" w:rsidRPr="00B14FA3" w:rsidRDefault="00B14FA3" w:rsidP="00593DFC">
            <w:pPr>
              <w:ind w:firstLine="0"/>
              <w:jc w:val="left"/>
            </w:pPr>
            <w:r>
              <w:rPr>
                <w:color w:val="000000"/>
                <w:szCs w:val="21"/>
              </w:rPr>
              <w:t>0.181±0.006</w:t>
            </w:r>
          </w:p>
        </w:tc>
      </w:tr>
      <w:tr w:rsidR="00B10182" w14:paraId="18F034C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BCD307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9C9995A"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60CF43B"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A022971" w14:textId="77777777" w:rsidR="00B14FA3" w:rsidRPr="00B14FA3" w:rsidRDefault="00B14FA3" w:rsidP="00593DFC">
            <w:pPr>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7FFC9BC1" w14:textId="77777777" w:rsidR="00B14FA3" w:rsidRPr="00B14FA3" w:rsidRDefault="00B14FA3" w:rsidP="00593DFC">
            <w:pPr>
              <w:ind w:firstLine="0"/>
              <w:jc w:val="left"/>
            </w:pPr>
            <w:r>
              <w:rPr>
                <w:color w:val="000000"/>
                <w:szCs w:val="21"/>
              </w:rPr>
              <w:t>0.173±0.008</w:t>
            </w:r>
          </w:p>
        </w:tc>
      </w:tr>
      <w:tr w:rsidR="00B10182" w14:paraId="548255B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2264F59"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22BEEFFC" w14:textId="77777777" w:rsidR="00B14FA3" w:rsidRPr="00B14FA3" w:rsidRDefault="00B14FA3" w:rsidP="00593DFC">
            <w:pPr>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2096A8B"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0E4921BA" w14:textId="77777777" w:rsidR="00B14FA3" w:rsidRPr="00B14FA3" w:rsidRDefault="00B14FA3" w:rsidP="00593DFC">
            <w:pPr>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269F9E22" w14:textId="77777777" w:rsidR="00B14FA3" w:rsidRPr="00B14FA3" w:rsidRDefault="00B14FA3" w:rsidP="00593DFC">
            <w:pPr>
              <w:ind w:firstLine="0"/>
              <w:jc w:val="left"/>
            </w:pPr>
            <w:r>
              <w:rPr>
                <w:color w:val="000000"/>
                <w:szCs w:val="21"/>
              </w:rPr>
              <w:t>0.371±0.011</w:t>
            </w:r>
          </w:p>
        </w:tc>
      </w:tr>
      <w:tr w:rsidR="00B10182" w14:paraId="424419F9"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71F45BE"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5C351F4"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612BE5DD"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C1E4299" w14:textId="77777777" w:rsidR="00B14FA3" w:rsidRPr="00B14FA3" w:rsidRDefault="00B14FA3" w:rsidP="00593DFC">
            <w:pPr>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5FEDD653" w14:textId="77777777" w:rsidR="00B14FA3" w:rsidRPr="00B14FA3" w:rsidRDefault="00B14FA3" w:rsidP="00593DFC">
            <w:pPr>
              <w:ind w:firstLine="0"/>
              <w:jc w:val="left"/>
            </w:pPr>
            <w:r>
              <w:rPr>
                <w:color w:val="000000"/>
                <w:szCs w:val="21"/>
              </w:rPr>
              <w:t>0.377±0.009</w:t>
            </w:r>
          </w:p>
        </w:tc>
      </w:tr>
      <w:tr w:rsidR="00B10182" w14:paraId="5D6055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9A54DE8"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5AA9F10"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5DA50439"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1E9FEFA0" w14:textId="77777777" w:rsidR="00B14FA3" w:rsidRPr="00B14FA3" w:rsidRDefault="00B14FA3" w:rsidP="00593DFC">
            <w:pPr>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B89CB2" w14:textId="77777777" w:rsidR="00B14FA3" w:rsidRPr="00B14FA3" w:rsidRDefault="00B14FA3" w:rsidP="00593DFC">
            <w:pPr>
              <w:ind w:firstLine="0"/>
              <w:jc w:val="left"/>
            </w:pPr>
            <w:r>
              <w:rPr>
                <w:color w:val="000000"/>
                <w:szCs w:val="21"/>
              </w:rPr>
              <w:t>0.377±0.009</w:t>
            </w:r>
          </w:p>
        </w:tc>
      </w:tr>
      <w:tr w:rsidR="00B10182" w14:paraId="641ED11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3AE54DC"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1FA6A84"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5ED527B0"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2606DB2" w14:textId="77777777" w:rsidR="00B14FA3" w:rsidRPr="00B14FA3" w:rsidRDefault="00B14FA3" w:rsidP="00593DFC">
            <w:pPr>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385D0893" w14:textId="77777777" w:rsidR="00B14FA3" w:rsidRPr="00B14FA3" w:rsidRDefault="00B14FA3" w:rsidP="00593DFC">
            <w:pPr>
              <w:ind w:firstLine="0"/>
              <w:jc w:val="left"/>
            </w:pPr>
            <w:r>
              <w:rPr>
                <w:color w:val="000000"/>
                <w:szCs w:val="21"/>
              </w:rPr>
              <w:t>0.379±0.007</w:t>
            </w:r>
          </w:p>
        </w:tc>
      </w:tr>
      <w:tr w:rsidR="00B10182" w14:paraId="670FDF84"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0D48F39F"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42B6C313"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78667F19"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0F26E210" w14:textId="77777777" w:rsidR="00B14FA3" w:rsidRPr="00B14FA3" w:rsidRDefault="00B14FA3" w:rsidP="00593DFC">
            <w:pPr>
              <w:ind w:firstLine="0"/>
              <w:jc w:val="left"/>
            </w:pPr>
            <w:r>
              <w:rPr>
                <w:color w:val="000000"/>
                <w:szCs w:val="21"/>
              </w:rPr>
              <w:t>0.426±0.029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61BB3C94" w14:textId="77777777" w:rsidR="00B14FA3" w:rsidRPr="00B14FA3" w:rsidRDefault="00B14FA3" w:rsidP="00593DFC">
            <w:pPr>
              <w:ind w:firstLine="0"/>
              <w:jc w:val="left"/>
            </w:pPr>
            <w:r>
              <w:rPr>
                <w:color w:val="000000"/>
                <w:szCs w:val="21"/>
              </w:rPr>
              <w:t>0.366±0.018</w:t>
            </w:r>
          </w:p>
        </w:tc>
      </w:tr>
    </w:tbl>
    <w:p w14:paraId="66FEBE6A" w14:textId="3F3C3202" w:rsidR="00917D78" w:rsidRDefault="00000000" w:rsidP="00593DFC">
      <w:pPr>
        <w:widowControl/>
      </w:pPr>
      <w:r>
        <w:rPr>
          <w:rFonts w:ascii="Times New Roman" w:hAnsi="Times New Roman" w:eastAsia="宋体"/>
          <w:color w:val="000000"/>
          <w:sz w:val="21"/>
          <w:szCs w:val="21"/>
        </w:rPr>
        <w:t xml:space="preserve">相对全局可学习权重和恒定输入路由，本文方法在Abilene上的逐种子平均MSE改进率均约为1.80%，在GÉANT上分别为4.31%和4.97%。Abilene相对两类对照均有6/8个种子改善，GÉANT均为7/8。相对全局权重的95%置信区间分别为[0.01%,3.58%]和[−2.51%,11.13%]；相对恒定输入路由分别为[0.49%,3.11%]和[−1.62%,11.56%]。GÉANT的两项区间均跨零，因此其平均改进不能表述为稳定优势。</w:t>
      </w:r>
    </w:p>
    <w:p w14:paraId="55DBE530" w14:textId="253EC389" w:rsidR="00917D78" w:rsidRDefault="00000000" w:rsidP="00593DFC">
      <w:r>
        <w:rPr>
          <w:color w:val="000000"/>
          <w:szCs w:val="21"/>
        </w:rPr>
        <w:t>图</w:t>
      </w:r>
      <w:r>
        <w:rPr>
          <w:color w:val="000000"/>
          <w:szCs w:val="21"/>
        </w:rPr>
        <w:t>3</w:t>
      </w:r>
      <w:r>
        <w:rPr>
          <w:color w:val="000000"/>
          <w:szCs w:val="21"/>
        </w:rPr>
        <w:t>进一步展示</w:t>
      </w:r>
      <w:r w:rsidR="00AB5D3C">
        <w:rPr>
          <w:rFonts w:hint="eastAsia"/>
          <w:color w:val="000000"/>
          <w:szCs w:val="21"/>
        </w:rPr>
        <w:t>了</w:t>
      </w:r>
      <w:r>
        <w:rPr>
          <w:color w:val="000000"/>
          <w:szCs w:val="21"/>
        </w:rPr>
        <w:t>本文方法相对</w:t>
      </w:r>
      <w:r>
        <w:rPr>
          <w:color w:val="000000"/>
          <w:szCs w:val="21"/>
        </w:rPr>
        <w:t>DLinear</w:t>
      </w:r>
      <w:r>
        <w:rPr>
          <w:color w:val="000000"/>
          <w:szCs w:val="21"/>
        </w:rPr>
        <w:t>和固定等权多尺度模型的逐种子改进分布。散点为单个种子的改进率，黑色菱形及横向误差线</w:t>
      </w:r>
      <w:r w:rsidR="00AB5D3C">
        <w:rPr>
          <w:rFonts w:hint="eastAsia"/>
          <w:color w:val="000000"/>
          <w:szCs w:val="21"/>
        </w:rPr>
        <w:t>则</w:t>
      </w:r>
      <w:r>
        <w:rPr>
          <w:color w:val="000000"/>
          <w:szCs w:val="21"/>
        </w:rPr>
        <w:t>分别为均值和</w:t>
      </w:r>
      <w:r>
        <w:rPr>
          <w:color w:val="000000"/>
          <w:szCs w:val="21"/>
        </w:rPr>
        <w:t>95%</w:t>
      </w:r>
      <w:r>
        <w:rPr>
          <w:color w:val="000000"/>
          <w:szCs w:val="21"/>
        </w:rPr>
        <w:t>置信区间。</w:t>
      </w:r>
    </w:p>
    <w:p w14:paraId="6FF445DD" w14:textId="77777777" w:rsidR="00B14FA3" w:rsidRPr="00B14FA3" w:rsidRDefault="00B14FA3" w:rsidP="00593DFC">
      <w:pPr>
        <w:spacing w:before="60"/>
        <w:ind w:firstLine="0"/>
        <w:jc w:val="center"/>
      </w:pPr>
      <w:r>
        <w:rPr>
          <w:noProof/>
          <w:color w:val="000000"/>
          <w:szCs w:val="21"/>
        </w:rPr>
        <w:drawing>
          <wp:inline distT="0" distB="0" distL="0" distR="0" wp14:anchorId="5FBC8323" wp14:editId="5DFFC881">
            <wp:extent cx="5829300" cy="28727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lative_improvement_classic.png"/>
                    <pic:cNvPicPr/>
                  </pic:nvPicPr>
                  <pic:blipFill>
                    <a:blip r:embed="rId8"/>
                    <a:stretch>
                      <a:fillRect/>
                    </a:stretch>
                  </pic:blipFill>
                  <pic:spPr>
                    <a:xfrm>
                      <a:off x="0" y="0"/>
                      <a:ext cx="5829300" cy="2872740"/>
                    </a:xfrm>
                    <a:prstGeom prst="rect">
                      <a:avLst/>
                    </a:prstGeom>
                  </pic:spPr>
                </pic:pic>
              </a:graphicData>
            </a:graphic>
          </wp:inline>
        </w:drawing>
      </w:r>
    </w:p>
    <w:p w14:paraId="092930EA"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3 </w:t>
      </w:r>
      <w:r>
        <w:rPr>
          <w:rFonts w:eastAsia="黑体"/>
          <w:b/>
          <w:color w:val="000000"/>
          <w:sz w:val="18"/>
          <w:szCs w:val="18"/>
        </w:rPr>
        <w:t>相对两类基线的多指标改进分布</w:t>
      </w:r>
    </w:p>
    <w:p w14:paraId="7DBCBAAE" w14:textId="203683FD" w:rsidR="00B14FA3" w:rsidRPr="00B14FA3" w:rsidRDefault="00006FCD" w:rsidP="00593DFC">
      <w:pPr>
        <w:widowControl/>
      </w:pPr>
      <w:r>
        <w:rPr>
          <w:rFonts w:ascii="Times New Roman" w:hAnsi="Times New Roman" w:eastAsia="宋体"/>
          <w:color w:val="000000"/>
          <w:sz w:val="21"/>
          <w:szCs w:val="21"/>
        </w:rPr>
        <w:t xml:space="preserve">相对DLinear，Abilene的MSE、MAE和RMSE平均改进率为2.77%、8.01%和1.40%，GÉANT为2.35%、1.32%和1.22%。相对固定等权多尺度，两套数据的MSE平均改进率分别为1.65%和4.54%。GÉANT的种子间波动更大，部分种子出现负改进。</w:t>
      </w:r>
    </w:p>
    <w:p w14:paraId="4C5298AD" w14:textId="77777777" w:rsidR="00917D78" w:rsidRDefault="00000000" w:rsidP="00593DFC">
      <w:pPr>
        <w:widowControl/>
      </w:pPr>
      <w:r>
        <w:rPr>
          <w:rFonts w:ascii="Times New Roman" w:hAnsi="Times New Roman" w:eastAsia="宋体"/>
          <w:color w:val="000000"/>
          <w:sz w:val="21"/>
          <w:szCs w:val="21"/>
        </w:rPr>
        <w:t xml:space="preserve">在24 h设置下，GÉANT种子43相对恒定输入路由的MSE增加12.77%，说明平均误差下降并不等于每次训练均改善。进一步保持历史长度96 h，将预测长度改为12 h，结果见表4。不同预测长度的测试目标与窗口数不同，因此仅在同一预测长度内比较两种融合方式。</w:t>
      </w:r>
    </w:p>
    <w:p>
      <w:pPr>
        <w:spacing w:before="60" w:after="40"/>
        <w:ind w:firstLine="0"/>
        <w:jc w:val="center"/>
        <w:keepNext/>
      </w:pPr>
      <w:r>
        <w:rPr>
          <w:rFonts w:ascii="Times New Roman" w:hAnsi="Times New Roman" w:eastAsia="宋体"/>
          <w:color w:val="000000"/>
          <w:sz w:val="21"/>
          <w:szCs w:val="21"/>
          <w:b/>
        </w:rPr>
        <w:t xml:space="preserve">表4 12 h预测的融合方式比较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050"/>
        <w:gridCol w:w="1800"/>
        <w:gridCol w:w="1800"/>
        <w:gridCol w:w="1250"/>
        <w:gridCol w:w="2100"/>
        <w:gridCol w:w="1000"/>
      </w:tblGrid>
      <w:tr>
        <w:trPr>
          <w:cantSplit/>
          <w:tblHeader/>
        </w:trPr>
        <w:tc>
          <w:tcPr>
            <w:tcW w:w="105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数据集</w:t>
            </w:r>
          </w:p>
        </w:tc>
        <w:tc>
          <w:tcPr>
            <w:tcW w:w="18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全局权重MSE</w:t>
            </w:r>
          </w:p>
        </w:tc>
        <w:tc>
          <w:tcPr>
            <w:tcW w:w="18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本文方法MSE</w:t>
            </w:r>
          </w:p>
        </w:tc>
        <w:tc>
          <w:tcPr>
            <w:tcW w:w="125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改进率/%</w:t>
            </w:r>
          </w:p>
        </w:tc>
        <w:tc>
          <w:tcPr>
            <w:tcW w:w="2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95%区间/%</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改善种子</w:t>
            </w:r>
          </w:p>
        </w:tc>
      </w:tr>
      <w:tr>
        <w:trPr>
          <w:cantSplit/>
        </w:trPr>
        <w:tc>
          <w:tcPr>
            <w:tcW w:w="105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Abilene</w:t>
            </w:r>
          </w:p>
        </w:tc>
        <w:tc>
          <w:tcPr>
            <w:tcW w:w="18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0.135±0.007</w:t>
            </w:r>
          </w:p>
        </w:tc>
        <w:tc>
          <w:tcPr>
            <w:tcW w:w="18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0.113±0.012</w:t>
            </w:r>
          </w:p>
        </w:tc>
        <w:tc>
          <w:tcPr>
            <w:tcW w:w="125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15.97</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[5.05,26.88]</w:t>
            </w:r>
          </w:p>
        </w:tc>
        <w:tc>
          <w:tcPr>
            <w:tcW w:w="10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7/8</w:t>
            </w:r>
          </w:p>
        </w:tc>
      </w:tr>
      <w:tr>
        <w:trPr>
          <w:cantSplit/>
        </w:trPr>
        <w:tc>
          <w:tcPr>
            <w:tcW w:w="105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GÉANT</w:t>
            </w:r>
          </w:p>
        </w:tc>
        <w:tc>
          <w:tcPr>
            <w:tcW w:w="18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0.386±0.008</w:t>
            </w:r>
          </w:p>
        </w:tc>
        <w:tc>
          <w:tcPr>
            <w:tcW w:w="18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0.390±0.015</w:t>
            </w:r>
          </w:p>
        </w:tc>
        <w:tc>
          <w:tcPr>
            <w:tcW w:w="125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-1.17</w:t>
            </w:r>
          </w:p>
        </w:tc>
        <w:tc>
          <w:tcPr>
            <w:tcW w:w="21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[-5.79,3.46]</w:t>
            </w:r>
          </w:p>
        </w:tc>
        <w:tc>
          <w:tcPr>
            <w:tcW w:w="10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3/8</w:t>
            </w:r>
          </w:p>
        </w:tc>
      </w:tr>
    </w:tbl>
    <w:p>
      <w:pPr>
        <w:rPr>
          <w:color w:val="000000"/>
        </w:rPr>
      </w:pPr>
      <w:r>
        <w:rPr>
          <w:rFonts w:ascii="Times New Roman" w:hAnsi="Times New Roman" w:eastAsia="宋体"/>
          <w:color w:val="000000"/>
          <w:sz w:val="21"/>
          <w:szCs w:val="21"/>
        </w:rPr>
        <w:t xml:space="preserve">表4中MSE为八种子的均值±标准差，改进率按种子配对计算。12 h预测时，本文方法与全局权重模型分别为4235和4107个参数。Abilene有7/8个种子改善；GÉANT仅3/8个，平均MSE反而略高。因此，24 h预测上的平均改进不能直接推广到其他预测长度。</w:t>
      </w:r>
    </w:p>
    <w:p w14:paraId="17B7FB3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2.4 </w:t>
      </w:r>
      <w:r>
        <w:rPr>
          <w:rFonts w:eastAsia="黑体"/>
          <w:b/>
          <w:bCs/>
          <w:color w:val="000000"/>
          <w:szCs w:val="21"/>
        </w:rPr>
        <w:t>预测行为与尺度权重分析</w:t>
      </w:r>
    </w:p>
    <w:p w14:paraId="082E3D90" w14:textId="77777777" w:rsidR="00917D78" w:rsidRDefault="00000000" w:rsidP="00593DFC">
      <w:r>
        <w:rPr>
          <w:color w:val="000000"/>
          <w:szCs w:val="21"/>
        </w:rPr>
        <w:t>图</w:t>
      </w:r>
      <w:r>
        <w:rPr>
          <w:color w:val="000000"/>
          <w:szCs w:val="21"/>
        </w:rPr>
        <w:t>4</w:t>
      </w:r>
      <w:r>
        <w:rPr>
          <w:color w:val="000000"/>
          <w:szCs w:val="21"/>
        </w:rPr>
        <w:t>（</w:t>
      </w:r>
      <w:r>
        <w:rPr>
          <w:color w:val="000000"/>
          <w:szCs w:val="21"/>
        </w:rPr>
        <w:t>a</w:t>
      </w:r>
      <w:r>
        <w:rPr>
          <w:color w:val="000000"/>
          <w:szCs w:val="21"/>
        </w:rPr>
        <w:t>、</w:t>
      </w:r>
      <w:r>
        <w:rPr>
          <w:color w:val="000000"/>
          <w:szCs w:val="21"/>
        </w:rPr>
        <w:t>b</w:t>
      </w:r>
      <w:r>
        <w:rPr>
          <w:color w:val="000000"/>
          <w:szCs w:val="21"/>
        </w:rPr>
        <w:t>）将</w:t>
      </w:r>
      <w:r>
        <w:rPr>
          <w:color w:val="000000"/>
          <w:szCs w:val="21"/>
        </w:rPr>
        <w:t>8</w:t>
      </w:r>
      <w:r>
        <w:rPr>
          <w:color w:val="000000"/>
          <w:szCs w:val="21"/>
        </w:rPr>
        <w:t>个种子的全测试预测点按真实值分位点分为最多</w:t>
      </w:r>
      <w:r>
        <w:rPr>
          <w:color w:val="000000"/>
          <w:szCs w:val="21"/>
        </w:rPr>
        <w:t>40</w:t>
      </w:r>
      <w:r>
        <w:rPr>
          <w:color w:val="000000"/>
          <w:szCs w:val="21"/>
        </w:rPr>
        <w:t>组，展示分组平均预测，浅色带表示种子间</w:t>
      </w:r>
      <w:r>
        <w:rPr>
          <w:color w:val="000000"/>
          <w:szCs w:val="21"/>
        </w:rPr>
        <w:t>±1</w:t>
      </w:r>
      <w:r>
        <w:rPr>
          <w:color w:val="000000"/>
          <w:szCs w:val="21"/>
        </w:rPr>
        <w:t>个标准差。图</w:t>
      </w:r>
      <w:r>
        <w:rPr>
          <w:color w:val="000000"/>
          <w:szCs w:val="21"/>
        </w:rPr>
        <w:t>4</w:t>
      </w:r>
      <w:r>
        <w:rPr>
          <w:color w:val="000000"/>
          <w:szCs w:val="21"/>
        </w:rPr>
        <w:t>（</w:t>
      </w:r>
      <w:r>
        <w:rPr>
          <w:color w:val="000000"/>
          <w:szCs w:val="21"/>
        </w:rPr>
        <w:t>c</w:t>
      </w:r>
      <w:r>
        <w:rPr>
          <w:color w:val="000000"/>
          <w:szCs w:val="21"/>
        </w:rPr>
        <w:t>～</w:t>
      </w:r>
      <w:r>
        <w:rPr>
          <w:color w:val="000000"/>
          <w:szCs w:val="21"/>
        </w:rPr>
        <w:t>f</w:t>
      </w:r>
      <w:r>
        <w:rPr>
          <w:color w:val="000000"/>
          <w:szCs w:val="21"/>
        </w:rPr>
        <w:t>）使用种子</w:t>
      </w:r>
      <w:r>
        <w:rPr>
          <w:color w:val="000000"/>
          <w:szCs w:val="21"/>
        </w:rPr>
        <w:t>42</w:t>
      </w:r>
      <w:r>
        <w:rPr>
          <w:color w:val="000000"/>
          <w:szCs w:val="21"/>
        </w:rPr>
        <w:t>，按真实序列选取标准差接近第</w:t>
      </w:r>
      <w:r>
        <w:rPr>
          <w:color w:val="000000"/>
          <w:szCs w:val="21"/>
        </w:rPr>
        <w:t>75</w:t>
      </w:r>
      <w:r>
        <w:rPr>
          <w:color w:val="000000"/>
          <w:szCs w:val="21"/>
        </w:rPr>
        <w:t>百分位的</w:t>
      </w:r>
      <w:r>
        <w:rPr>
          <w:color w:val="000000"/>
          <w:szCs w:val="21"/>
        </w:rPr>
        <w:t>OD</w:t>
      </w:r>
      <w:r>
        <w:rPr>
          <w:color w:val="000000"/>
          <w:szCs w:val="21"/>
        </w:rPr>
        <w:t>通道，以及平均绝对一阶差分接近中位数、第</w:t>
      </w:r>
      <w:r>
        <w:rPr>
          <w:color w:val="000000"/>
          <w:szCs w:val="21"/>
        </w:rPr>
        <w:t>90</w:t>
      </w:r>
      <w:r>
        <w:rPr>
          <w:color w:val="000000"/>
          <w:szCs w:val="21"/>
        </w:rPr>
        <w:t>百分位的窗口。</w:t>
      </w:r>
    </w:p>
    <w:p w14:paraId="70FC6E17" w14:textId="77777777" w:rsidR="00B14FA3" w:rsidRPr="00B14FA3" w:rsidRDefault="00B14FA3" w:rsidP="00593DFC">
      <w:pPr>
        <w:spacing w:before="60"/>
        <w:ind w:firstLine="0"/>
        <w:jc w:val="center"/>
      </w:pPr>
      <w:r>
        <w:rPr>
          <w:noProof/>
          <w:color w:val="000000"/>
          <w:szCs w:val="21"/>
        </w:rPr>
        <w:drawing>
          <wp:inline distT="0" distB="0" distL="0" distR="0" wp14:anchorId="38BBE131" wp14:editId="1ABAF6F6">
            <wp:extent cx="5829300" cy="4198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libration_plus_constant_router.png"/>
                    <pic:cNvPicPr/>
                  </pic:nvPicPr>
                  <pic:blipFill>
                    <a:blip r:embed="rId9"/>
                    <a:stretch>
                      <a:fillRect/>
                    </a:stretch>
                  </pic:blipFill>
                  <pic:spPr>
                    <a:xfrm>
                      <a:off x="0" y="0"/>
                      <a:ext cx="5829300" cy="4198620"/>
                    </a:xfrm>
                    <a:prstGeom prst="rect">
                      <a:avLst/>
                    </a:prstGeom>
                  </pic:spPr>
                </pic:pic>
              </a:graphicData>
            </a:graphic>
          </wp:inline>
        </w:drawing>
      </w:r>
    </w:p>
    <w:p w14:paraId="1F184BB6"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4 </w:t>
      </w:r>
      <w:r>
        <w:rPr>
          <w:rFonts w:eastAsia="黑体"/>
          <w:b/>
          <w:color w:val="000000"/>
          <w:sz w:val="18"/>
          <w:szCs w:val="18"/>
        </w:rPr>
        <w:t>真实值分组预测与典型窗口轨迹</w:t>
      </w:r>
    </w:p>
    <w:p w14:paraId="3B01B7FD" w14:textId="77777777" w:rsidR="00917D78" w:rsidRDefault="00000000" w:rsidP="00593DFC">
      <w:pPr>
        <w:widowControl/>
      </w:pPr>
      <w:r>
        <w:rPr>
          <w:rFonts w:ascii="Times New Roman" w:hAnsi="Times New Roman" w:eastAsia="宋体"/>
          <w:color w:val="000000"/>
          <w:sz w:val="21"/>
          <w:szCs w:val="21"/>
        </w:rPr>
        <w:t xml:space="preserve">图4中，四种模型在较高真实值区间均出现低估，本文方法的分组平均偏差较小。四例典型轨迹中，本文方法有三例的24步MSE低于所示对照，在Abilene典型波动窗口中表现较差。典型轨迹仅用于展示行为，整体比较仍以表3为准。</w:t>
      </w:r>
    </w:p>
    <w:p w14:paraId="4BFC341C" w14:textId="77777777" w:rsidR="00B14FA3" w:rsidRPr="00B14FA3" w:rsidRDefault="00B14FA3" w:rsidP="00593DFC">
      <w:r>
        <w:rPr>
          <w:color w:val="000000"/>
          <w:szCs w:val="21"/>
        </w:rPr>
        <w:t>图</w:t>
      </w:r>
      <w:r>
        <w:rPr>
          <w:color w:val="000000"/>
          <w:szCs w:val="21"/>
        </w:rPr>
        <w:t>5</w:t>
      </w:r>
      <w:r>
        <w:rPr>
          <w:color w:val="000000"/>
          <w:szCs w:val="21"/>
        </w:rPr>
        <w:t>汇总</w:t>
      </w:r>
      <w:r>
        <w:rPr>
          <w:color w:val="000000"/>
          <w:szCs w:val="21"/>
        </w:rPr>
        <w:t>8</w:t>
      </w:r>
      <w:r>
        <w:rPr>
          <w:color w:val="000000"/>
          <w:szCs w:val="21"/>
        </w:rPr>
        <w:t>个种子的测试窗口权重，彩色点为各随机种子的窗口平均权重，黑色菱形及误差线为这些均值的均值</w:t>
      </w:r>
      <w:r>
        <w:rPr>
          <w:color w:val="000000"/>
          <w:szCs w:val="21"/>
        </w:rPr>
        <w:t>±1</w:t>
      </w:r>
      <w:r>
        <w:rPr>
          <w:color w:val="000000"/>
          <w:szCs w:val="21"/>
        </w:rPr>
        <w:t>个标准差；短横线表示汇总分布中位数，水平虚线表示固定等权</w:t>
      </w:r>
      <w:r>
        <w:rPr>
          <w:color w:val="000000"/>
          <w:szCs w:val="21"/>
        </w:rPr>
        <w:t>1/3</w:t>
      </w:r>
      <w:r>
        <w:rPr>
          <w:color w:val="000000"/>
          <w:szCs w:val="21"/>
        </w:rPr>
        <w:t>。</w:t>
      </w:r>
    </w:p>
    <w:p w14:paraId="256806CB" w14:textId="77777777" w:rsidR="00917D78" w:rsidRDefault="00000000" w:rsidP="00593DFC">
      <w:pPr>
        <w:jc w:val="center"/>
      </w:pPr>
      <w:r>
        <w:rPr>
          <w:noProof/>
          <w:color w:val="000000"/>
          <w:szCs w:val="21"/>
        </w:rPr>
        <w:lastRenderedPageBreak/>
        <w:drawing>
          <wp:inline distT="0" distB="0" distL="0" distR="0" wp14:anchorId="11A0ECE6" wp14:editId="65ACE980">
            <wp:extent cx="5829300" cy="27386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uter_weights_classic.png"/>
                    <pic:cNvPicPr/>
                  </pic:nvPicPr>
                  <pic:blipFill>
                    <a:blip r:embed="rId10"/>
                    <a:stretch>
                      <a:fillRect/>
                    </a:stretch>
                  </pic:blipFill>
                  <pic:spPr>
                    <a:xfrm>
                      <a:off x="0" y="0"/>
                      <a:ext cx="5829300" cy="2738628"/>
                    </a:xfrm>
                    <a:prstGeom prst="rect">
                      <a:avLst/>
                    </a:prstGeom>
                  </pic:spPr>
                </pic:pic>
              </a:graphicData>
            </a:graphic>
          </wp:inline>
        </w:drawing>
      </w:r>
    </w:p>
    <w:p w14:paraId="22D94D73" w14:textId="77777777" w:rsidR="00917D78" w:rsidRDefault="00000000"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5 </w:t>
      </w:r>
      <w:r>
        <w:rPr>
          <w:rFonts w:eastAsia="黑体"/>
          <w:b/>
          <w:color w:val="000000"/>
          <w:sz w:val="18"/>
          <w:szCs w:val="18"/>
        </w:rPr>
        <w:t>尺度权重分布与种子均值</w:t>
      </w:r>
    </w:p>
    <w:p w14:paraId="25CF814D" w14:textId="77777777" w:rsidR="00917D78" w:rsidRDefault="00000000" w:rsidP="00593DFC">
      <w:pPr>
        <w:widowControl/>
      </w:pPr>
      <w:r>
        <w:rPr>
          <w:rFonts w:ascii="Times New Roman" w:hAnsi="Times New Roman" w:eastAsia="宋体"/>
          <w:color w:val="000000"/>
          <w:sz w:val="21"/>
          <w:szCs w:val="21"/>
        </w:rPr>
        <w:t xml:space="preserve">Abilene三个尺度的汇总平均权重为0.257、0.319和0.424，GÉANT为0.283、0.318和0.399。GÉANT各尺度权重总方差约有96.2%、95.8%和97.7%来自种子间差异，Abilene对应比例为48.7%、86.1%和80.6%。因此，偏离等权只能说明模型形成了非等权分配，不能单独证明权重随窗口发生有效调整，尤其是GÉANT同一种子内的权重变化较小。</w:t>
      </w:r>
    </w:p>
    <w:p w14:paraId="24A03653" w14:textId="1847F511" w:rsidR="00B14FA3" w:rsidRPr="00545955" w:rsidRDefault="00006FCD" w:rsidP="00593DFC">
      <w:pPr>
        <w:widowControl/>
        <w:rPr>
          <w:color w:val="000000"/>
          <w:szCs w:val="21"/>
        </w:rPr>
      </w:pPr>
      <w:r>
        <w:rPr>
          <w:rFonts w:ascii="Times New Roman" w:hAnsi="Times New Roman" w:eastAsia="宋体"/>
          <w:color w:val="000000"/>
          <w:sz w:val="21"/>
          <w:szCs w:val="21"/>
        </w:rPr>
        <w:t xml:space="preserve">两个数据集分别按各自训练窗口的平均绝对一阶差分三分位阈值划分低、中、高波动组。Abilene测试窗口数为15、406、392，相对全局权重的平均MSE改进率为4.43%、1.90%、1.69%；GÉANT低波动组为空，中、高组为76、375个窗口，改进率为5.85%、4.06%。Abilene高波动组的尺度1权重较高，但误差改善未同步增大；GÉANT中、高组权重接近，误差改善却有差异。这些结果不支持将误差下降简单归因于更强的动态权重调整。</w:t>
      </w:r>
    </w:p>
    <w:p w14:paraId="3150CF57" w14:textId="77777777" w:rsidR="00B14FA3" w:rsidRPr="00B14FA3" w:rsidRDefault="00B14FA3" w:rsidP="00593DFC">
      <w:pPr>
        <w:spacing w:before="80" w:after="20"/>
        <w:ind w:firstLine="0"/>
        <w:jc w:val="left"/>
        <w:outlineLvl w:val="1"/>
        <w:rPr>
          <w:rFonts w:eastAsia="黑体"/>
          <w:b/>
          <w:bCs/>
          <w:szCs w:val="32"/>
        </w:rPr>
      </w:pPr>
      <w:r>
        <w:rPr>
          <w:rFonts w:ascii="Times New Roman" w:hAnsi="Times New Roman" w:eastAsia="黑体"/>
          <w:color w:val="000000"/>
          <w:sz w:val="24"/>
          <w:szCs w:val="24"/>
          <w:b/>
        </w:rPr>
        <w:t xml:space="preserve">2.5 计算开销与网络管理应用</w:t>
      </w:r>
    </w:p>
    <w:p w14:paraId="042F177F" w14:textId="5518A5D1" w:rsidR="00917D78" w:rsidRDefault="00000000" w:rsidP="00593DFC">
      <w:pPr>
        <w:widowControl/>
      </w:pPr>
      <w:r>
        <w:rPr>
          <w:rFonts w:ascii="Times New Roman" w:hAnsi="Times New Roman" w:eastAsia="宋体"/>
          <w:color w:val="000000"/>
          <w:sz w:val="21"/>
          <w:szCs w:val="21"/>
        </w:rPr>
        <w:t xml:space="preserve">表5比较参数量与前向耗时。本文方法比固定等权多尺度增加131个路由参数，比全局可学习权重增加128个参数；但相对单尺度DLinear，参数量由4656增至8339，推理也需执行三个专家。因此，路由参数增量较小不能等同于整个模型的计算开销与单尺度相当。</w:t>
      </w:r>
    </w:p>
    <w:p w14:paraId="1DA52347" w14:textId="151FF53C" w:rsidR="00917D78" w:rsidRDefault="00144EB6" w:rsidP="00593DFC">
      <w:pPr>
        <w:widowControl/>
      </w:pPr>
      <w:r>
        <w:rPr>
          <w:rFonts w:ascii="Times New Roman" w:hAnsi="Times New Roman" w:eastAsia="宋体"/>
          <w:color w:val="000000"/>
          <w:sz w:val="21"/>
          <w:szCs w:val="21"/>
        </w:rPr>
        <w:t xml:space="preserve">采用种子42～49的八个检查点，在GTX 1060（6 GB）上以CUDA事件计时，在i7-8750H上进行单线程CPU计时。批量大小为16，输入张量预先载入目标设备并关闭梯度；GPU各检查点预热50批、完整测试集重复30次，CPU预热30批、重复10次。每次总耗时除以批次数，先在检查点内平均，再报告八个检查点的均值±标准差。表5不包含数据读取、设备传输、预处理和结果还原，不能作为在线端到端延迟。</w:t>
      </w:r>
    </w:p>
    <w:p>
      <w:pPr>
        <w:spacing w:before="60" w:after="40"/>
        <w:ind w:firstLine="0"/>
        <w:jc w:val="center"/>
        <w:keepNext/>
      </w:pPr>
      <w:r>
        <w:rPr>
          <w:rFonts w:ascii="Times New Roman" w:hAnsi="Times New Roman" w:eastAsia="宋体"/>
          <w:color w:val="000000"/>
          <w:sz w:val="21"/>
          <w:szCs w:val="21"/>
          <w:b/>
        </w:rPr>
        <w:t xml:space="preserve">表5 参数量与每批前向耗时</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100"/>
        <w:gridCol w:w="2500"/>
        <w:gridCol w:w="1200"/>
        <w:gridCol w:w="2100"/>
        <w:gridCol w:w="2100"/>
      </w:tblGrid>
      <w:tr>
        <w:trPr>
          <w:cantSplit/>
          <w:tblHeader/>
        </w:trPr>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参数量</w:t>
            </w:r>
          </w:p>
        </w:tc>
        <w:tc>
          <w:tcPr>
            <w:tcW w:w="2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GPU耗时/ms</w:t>
            </w:r>
          </w:p>
        </w:tc>
        <w:tc>
          <w:tcPr>
            <w:tcW w:w="2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b/>
              </w:rPr>
              <w:t xml:space="preserve">CPU耗时/ms</w:t>
            </w:r>
          </w:p>
        </w:tc>
      </w:tr>
      <w:tr>
        <w:trPr>
          <w:cantSplit/>
        </w:trPr>
        <w:tc>
          <w:tcPr>
            <w:tcW w:w="1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Abilene</w:t>
            </w:r>
          </w:p>
        </w:tc>
        <w:tc>
          <w:tcPr>
            <w:tcW w:w="25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DLinear</w:t>
            </w:r>
          </w:p>
        </w:tc>
        <w:tc>
          <w:tcPr>
            <w:tcW w:w="12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4656</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0.75±0.11</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16.86±1.13</w:t>
            </w:r>
          </w:p>
        </w:tc>
      </w:tr>
      <w:tr>
        <w:trPr>
          <w:cantSplit/>
        </w:trPr>
        <w:tc>
          <w:tcPr>
            <w:tcW w:w="1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Abilene</w:t>
            </w:r>
          </w:p>
        </w:tc>
        <w:tc>
          <w:tcPr>
            <w:tcW w:w="25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8208</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2.50±0.24</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31.24±0.40</w:t>
            </w:r>
          </w:p>
        </w:tc>
      </w:tr>
      <w:tr>
        <w:trPr>
          <w:cantSplit/>
        </w:trPr>
        <w:tc>
          <w:tcPr>
            <w:tcW w:w="1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Abilene</w:t>
            </w:r>
          </w:p>
        </w:tc>
        <w:tc>
          <w:tcPr>
            <w:tcW w:w="25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本文方法</w:t>
            </w:r>
          </w:p>
        </w:tc>
        <w:tc>
          <w:tcPr>
            <w:tcW w:w="12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8339</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3.28±0.20</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40.65±0.19</w:t>
            </w:r>
          </w:p>
        </w:tc>
      </w:tr>
      <w:tr>
        <w:trPr>
          <w:cantSplit/>
        </w:trPr>
        <w:tc>
          <w:tcPr>
            <w:tcW w:w="1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GÉANT</w:t>
            </w:r>
          </w:p>
        </w:tc>
        <w:tc>
          <w:tcPr>
            <w:tcW w:w="25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DLinear</w:t>
            </w:r>
          </w:p>
        </w:tc>
        <w:tc>
          <w:tcPr>
            <w:tcW w:w="12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4656</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0.82±0.09</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56.71±0.40</w:t>
            </w:r>
          </w:p>
        </w:tc>
      </w:tr>
      <w:tr>
        <w:trPr>
          <w:cantSplit/>
        </w:trPr>
        <w:tc>
          <w:tcPr>
            <w:tcW w:w="1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GÉANT</w:t>
            </w:r>
          </w:p>
        </w:tc>
        <w:tc>
          <w:tcPr>
            <w:tcW w:w="25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8208</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2.55±0.25</w:t>
            </w:r>
          </w:p>
        </w:tc>
        <w:tc>
          <w:tcPr>
            <w:tcW w:w="2100" w:type="dxa"/>
            <w:tcBorders>
              <w:top w:val="nil"/>
              <w:left w:val="nil"/>
              <w:bottom w:val="nil"/>
              <w:right w:val="nil"/>
            </w:tcBorders>
            <w:tcMar>
              <w:top w:w="55" w:type="dxa"/>
              <w:left w:w="70" w:type="dxa"/>
              <w:bottom w:w="55" w:type="dxa"/>
              <w:right w:w="70" w:type="dxa"/>
            </w:tcMar>
            <w:vAlign w:val="center"/>
            <w:hideMark/>
          </w:tcPr>
          <w:p>
            <w:pPr>
              <w:rPr>
                <w:color w:val="000000"/>
              </w:rPr>
              <w:ind w:firstLine="0"/>
              <w:spacing w:before="30" w:after="30" w:line="240" w:lineRule="auto"/>
              <w:keepNext/>
              <w:jc w:val="center"/>
            </w:pPr>
            <w:r>
              <w:rPr>
                <w:rFonts w:ascii="Times New Roman" w:hAnsi="Times New Roman" w:eastAsia="宋体"/>
                <w:color w:val="000000"/>
                <w:sz w:val="20"/>
                <w:szCs w:val="20"/>
              </w:rPr>
              <w:t xml:space="preserve">101.53±2.69</w:t>
            </w:r>
          </w:p>
        </w:tc>
      </w:tr>
      <w:tr>
        <w:trPr>
          <w:cantSplit/>
        </w:trPr>
        <w:tc>
          <w:tcPr>
            <w:tcW w:w="11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GÉANT</w:t>
            </w:r>
          </w:p>
        </w:tc>
        <w:tc>
          <w:tcPr>
            <w:tcW w:w="25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本文方法</w:t>
            </w:r>
          </w:p>
        </w:tc>
        <w:tc>
          <w:tcPr>
            <w:tcW w:w="12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8339</w:t>
            </w:r>
          </w:p>
        </w:tc>
        <w:tc>
          <w:tcPr>
            <w:tcW w:w="21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5.26±2.79</w:t>
            </w:r>
          </w:p>
        </w:tc>
        <w:tc>
          <w:tcPr>
            <w:tcW w:w="2100" w:type="dxa"/>
            <w:tcBorders>
              <w:top w:val="nil"/>
              <w:left w:val="nil"/>
              <w:bottom w:val="single" w:sz="8" w:color="000000"/>
              <w:right w:val="nil"/>
            </w:tcBorders>
            <w:tcMar>
              <w:top w:w="55" w:type="dxa"/>
              <w:left w:w="70" w:type="dxa"/>
              <w:bottom w:w="55" w:type="dxa"/>
              <w:right w:w="70" w:type="dxa"/>
            </w:tcMar>
            <w:vAlign w:val="center"/>
            <w:hideMark/>
          </w:tcPr>
          <w:p>
            <w:pPr>
              <w:rPr>
                <w:color w:val="000000"/>
              </w:rPr>
              <w:ind w:firstLine="0"/>
              <w:spacing w:before="30" w:after="30" w:line="240" w:lineRule="auto"/>
              <w:jc w:val="center"/>
            </w:pPr>
            <w:r>
              <w:rPr>
                <w:rFonts w:ascii="Times New Roman" w:hAnsi="Times New Roman" w:eastAsia="宋体"/>
                <w:color w:val="000000"/>
                <w:sz w:val="20"/>
                <w:szCs w:val="20"/>
              </w:rPr>
              <w:t xml:space="preserve">131.35±1.25</w:t>
            </w:r>
          </w:p>
        </w:tc>
      </w:tr>
    </w:tbl>
    <w:p w14:paraId="758F1192" w14:textId="77777777" w:rsidR="00144EB6" w:rsidRDefault="00144EB6" w:rsidP="00593DFC">
      <w:pPr>
        <w:widowControl/>
        <w:rPr>
          <w:color w:val="000000"/>
          <w:szCs w:val="21"/>
        </w:rPr>
      </w:pPr>
      <w:r>
        <w:rPr>
          <w:rFonts w:ascii="Times New Roman" w:hAnsi="Times New Roman" w:eastAsia="宋体"/>
          <w:color w:val="000000"/>
          <w:sz w:val="21"/>
          <w:szCs w:val="21"/>
        </w:rPr>
        <w:t xml:space="preserve">在相同历史长度与预测长度下，144与524个变量均对应8339个参数，但CPU前向耗时明显增加，说明参数共享不能消除变量规模带来的计算增长。已有训练记录中，本文方法在Abilene和GÉANT上的完整训练评估流程耗时分别为52.47±22.48 s和32.73±34.48 s。该计时包含训练、验证、检查点读写及测试，早停轮次也不同，不能作为纯训练速度或扩展性基准。</w:t>
      </w:r>
    </w:p>
    <w:p w14:paraId="3AC41EAB" w14:textId="11C14BEF" w:rsidR="00917D78" w:rsidRDefault="00144EB6" w:rsidP="00593DFC">
      <w:pPr>
        <w:widowControl/>
      </w:pPr>
      <w:r>
        <w:rPr>
          <w:rFonts w:ascii="Times New Roman" w:hAnsi="Times New Roman" w:eastAsia="宋体"/>
          <w:color w:val="000000"/>
          <w:sz w:val="21"/>
          <w:szCs w:val="21"/>
        </w:rPr>
        <w:t xml:space="preserve">面向小时级需求分析，模型可在新观测到达后，以最近96 h历史生成未来24 h的逐小时OD预测。实际使用前需依次逆标准化、逆对数变换并截断至非负，再结合已知拓扑和路由关系汇总链路需求。本文未执行这一步的在线部署，也未测量调度收益，因而当前实验仅评价离线预测能力。</w:t>
      </w:r>
    </w:p>
    <w:p w14:paraId="10D946F0" w14:textId="77777777" w:rsidR="00917D78" w:rsidRDefault="00000000" w:rsidP="00593DFC">
      <w:pPr>
        <w:widowControl/>
      </w:pPr>
      <w:r>
        <w:rPr>
          <w:color w:val="000000"/>
          <w:szCs w:val="21"/>
        </w:rPr>
        <w:lastRenderedPageBreak/>
        <w:t>训练集各</w:t>
      </w:r>
      <w:r>
        <w:rPr>
          <w:color w:val="000000"/>
          <w:szCs w:val="21"/>
        </w:rPr>
        <w:t>OD</w:t>
      </w:r>
      <w:r>
        <w:rPr>
          <w:color w:val="000000"/>
          <w:szCs w:val="21"/>
        </w:rPr>
        <w:t>的第</w:t>
      </w:r>
      <w:r>
        <w:rPr>
          <w:color w:val="000000"/>
          <w:szCs w:val="21"/>
        </w:rPr>
        <w:t>90</w:t>
      </w:r>
      <w:r>
        <w:rPr>
          <w:color w:val="000000"/>
          <w:szCs w:val="21"/>
        </w:rPr>
        <w:t>百分位用作高需求阈值，超过对应阈值的真实值所在测试预测点才参与评价。种子</w:t>
      </w:r>
      <w:r>
        <w:rPr>
          <w:color w:val="000000"/>
          <w:szCs w:val="21"/>
        </w:rPr>
        <w:t>42</w:t>
      </w:r>
      <w:r>
        <w:rPr>
          <w:color w:val="000000"/>
          <w:szCs w:val="21"/>
        </w:rPr>
        <w:t>～</w:t>
      </w:r>
      <w:r>
        <w:rPr>
          <w:color w:val="000000"/>
          <w:szCs w:val="21"/>
        </w:rPr>
        <w:t>49</w:t>
      </w:r>
      <w:r>
        <w:rPr>
          <w:color w:val="000000"/>
          <w:szCs w:val="21"/>
        </w:rPr>
        <w:t>的</w:t>
      </w:r>
      <w:r>
        <w:rPr>
          <w:color w:val="000000"/>
          <w:szCs w:val="21"/>
        </w:rPr>
        <w:t>24</w:t>
      </w:r>
      <w:r>
        <w:rPr>
          <w:color w:val="000000"/>
          <w:szCs w:val="21"/>
        </w:rPr>
        <w:t>步预测在标准化空间内统计</w:t>
      </w:r>
      <w:r>
        <w:rPr>
          <w:color w:val="000000"/>
          <w:szCs w:val="21"/>
        </w:rPr>
        <w:t>MAE</w:t>
      </w:r>
      <w:r>
        <w:rPr>
          <w:color w:val="000000"/>
          <w:szCs w:val="21"/>
        </w:rPr>
        <w:t>及低估误差均值。对后者，真实值减预测值仅取正值部分，再在全部高需求预测点上平均。高需求预测点在</w:t>
      </w:r>
      <w:r>
        <w:rPr>
          <w:color w:val="000000"/>
          <w:szCs w:val="21"/>
        </w:rPr>
        <w:t>Abilene</w:t>
      </w:r>
      <w:r>
        <w:rPr>
          <w:color w:val="000000"/>
          <w:szCs w:val="21"/>
        </w:rPr>
        <w:t>占</w:t>
      </w:r>
      <w:r>
        <w:rPr>
          <w:color w:val="000000"/>
          <w:szCs w:val="21"/>
        </w:rPr>
        <w:t>13.61%</w:t>
      </w:r>
      <w:r>
        <w:rPr>
          <w:color w:val="000000"/>
          <w:szCs w:val="21"/>
        </w:rPr>
        <w:t>，在</w:t>
      </w:r>
      <w:r>
        <w:rPr>
          <w:color w:val="000000"/>
          <w:szCs w:val="21"/>
        </w:rPr>
        <w:t>GÉANT</w:t>
      </w:r>
      <w:r>
        <w:rPr>
          <w:color w:val="000000"/>
          <w:szCs w:val="21"/>
        </w:rPr>
        <w:t>占</w:t>
      </w:r>
      <w:r>
        <w:rPr>
          <w:color w:val="000000"/>
          <w:szCs w:val="21"/>
        </w:rPr>
        <w:t>13.00%</w:t>
      </w:r>
      <w:r>
        <w:rPr>
          <w:color w:val="000000"/>
          <w:szCs w:val="21"/>
        </w:rPr>
        <w:t>。</w:t>
      </w:r>
    </w:p>
    <w:p w14:paraId="7A831D3B" w14:textId="77777777" w:rsidR="00917D78" w:rsidRDefault="00000000" w:rsidP="00593DFC">
      <w:pPr>
        <w:widowControl/>
      </w:pPr>
      <w:r>
        <w:rPr>
          <w:color w:val="000000"/>
          <w:szCs w:val="21"/>
        </w:rPr>
        <w:t>按</w:t>
      </w:r>
      <w:r>
        <w:rPr>
          <w:color w:val="000000"/>
          <w:szCs w:val="21"/>
        </w:rPr>
        <w:t>8</w:t>
      </w:r>
      <w:r>
        <w:rPr>
          <w:color w:val="000000"/>
          <w:szCs w:val="21"/>
        </w:rPr>
        <w:t>个种子的均值</w:t>
      </w:r>
      <w:r>
        <w:rPr>
          <w:color w:val="000000"/>
          <w:szCs w:val="21"/>
        </w:rPr>
        <w:t>±</w:t>
      </w:r>
      <w:r>
        <w:rPr>
          <w:color w:val="000000"/>
          <w:szCs w:val="21"/>
        </w:rPr>
        <w:t>标准差汇总，本文方法在</w:t>
      </w:r>
      <w:r>
        <w:rPr>
          <w:color w:val="000000"/>
          <w:szCs w:val="21"/>
        </w:rPr>
        <w:t>Abilene</w:t>
      </w:r>
      <w:r>
        <w:rPr>
          <w:color w:val="000000"/>
          <w:szCs w:val="21"/>
        </w:rPr>
        <w:t>上的高需求</w:t>
      </w:r>
      <w:r>
        <w:rPr>
          <w:color w:val="000000"/>
          <w:szCs w:val="21"/>
        </w:rPr>
        <w:t>MAE</w:t>
      </w:r>
      <w:r>
        <w:rPr>
          <w:color w:val="000000"/>
          <w:szCs w:val="21"/>
        </w:rPr>
        <w:t>和低估误差均值分别为</w:t>
      </w:r>
      <w:r>
        <w:rPr>
          <w:color w:val="000000"/>
          <w:szCs w:val="21"/>
        </w:rPr>
        <w:t>0.147±0.013</w:t>
      </w:r>
      <w:r>
        <w:rPr>
          <w:color w:val="000000"/>
          <w:szCs w:val="21"/>
        </w:rPr>
        <w:t>、</w:t>
      </w:r>
      <w:r>
        <w:rPr>
          <w:color w:val="000000"/>
          <w:szCs w:val="21"/>
        </w:rPr>
        <w:t>0.137±0.017</w:t>
      </w:r>
      <w:r>
        <w:rPr>
          <w:color w:val="000000"/>
          <w:szCs w:val="21"/>
        </w:rPr>
        <w:t>，相对全局可学习权重的逐种子平均降幅为</w:t>
      </w:r>
      <w:r>
        <w:rPr>
          <w:color w:val="000000"/>
          <w:szCs w:val="21"/>
        </w:rPr>
        <w:t>17.22%</w:t>
      </w:r>
      <w:r>
        <w:rPr>
          <w:color w:val="000000"/>
          <w:szCs w:val="21"/>
        </w:rPr>
        <w:t>、</w:t>
      </w:r>
      <w:r>
        <w:rPr>
          <w:color w:val="000000"/>
          <w:szCs w:val="21"/>
        </w:rPr>
        <w:t>20.49%</w:t>
      </w:r>
      <w:r>
        <w:rPr>
          <w:color w:val="000000"/>
          <w:szCs w:val="21"/>
        </w:rPr>
        <w:t>，</w:t>
      </w:r>
      <w:r>
        <w:rPr>
          <w:color w:val="000000"/>
          <w:szCs w:val="21"/>
        </w:rPr>
        <w:t>8</w:t>
      </w:r>
      <w:r>
        <w:rPr>
          <w:color w:val="000000"/>
          <w:szCs w:val="21"/>
        </w:rPr>
        <w:t>个种子均改善。</w:t>
      </w:r>
      <w:r>
        <w:rPr>
          <w:color w:val="000000"/>
          <w:szCs w:val="21"/>
        </w:rPr>
        <w:t>GÉANT</w:t>
      </w:r>
      <w:r>
        <w:rPr>
          <w:color w:val="000000"/>
          <w:szCs w:val="21"/>
        </w:rPr>
        <w:t>两项指标为</w:t>
      </w:r>
      <w:r>
        <w:rPr>
          <w:color w:val="000000"/>
          <w:szCs w:val="21"/>
        </w:rPr>
        <w:t>0.632±0.060</w:t>
      </w:r>
      <w:r>
        <w:rPr>
          <w:color w:val="000000"/>
          <w:szCs w:val="21"/>
        </w:rPr>
        <w:t>、</w:t>
      </w:r>
      <w:r>
        <w:rPr>
          <w:color w:val="000000"/>
          <w:szCs w:val="21"/>
        </w:rPr>
        <w:t>0.577±0.080</w:t>
      </w:r>
      <w:r>
        <w:rPr>
          <w:color w:val="000000"/>
          <w:szCs w:val="21"/>
        </w:rPr>
        <w:t>，平均降幅为</w:t>
      </w:r>
      <w:r>
        <w:rPr>
          <w:color w:val="000000"/>
          <w:szCs w:val="21"/>
        </w:rPr>
        <w:t>3.59%</w:t>
      </w:r>
      <w:r>
        <w:rPr>
          <w:color w:val="000000"/>
          <w:szCs w:val="21"/>
        </w:rPr>
        <w:t>、</w:t>
      </w:r>
      <w:r>
        <w:rPr>
          <w:color w:val="000000"/>
          <w:szCs w:val="21"/>
        </w:rPr>
        <w:t>6.30%</w:t>
      </w:r>
      <w:r>
        <w:rPr>
          <w:color w:val="000000"/>
          <w:szCs w:val="21"/>
        </w:rPr>
        <w:t>，均有</w:t>
      </w:r>
      <w:r>
        <w:rPr>
          <w:color w:val="000000"/>
          <w:szCs w:val="21"/>
        </w:rPr>
        <w:t>6/8</w:t>
      </w:r>
      <w:r>
        <w:rPr>
          <w:color w:val="000000"/>
          <w:szCs w:val="21"/>
        </w:rPr>
        <w:t>个种子改善。</w:t>
      </w:r>
    </w:p>
    <w:p w14:paraId="13055B8B" w14:textId="67277A89" w:rsidR="00917D78" w:rsidRDefault="00144EB6" w:rsidP="00593DFC">
      <w:pPr>
        <w:widowControl/>
      </w:pPr>
      <w:r>
        <w:rPr>
          <w:rFonts w:ascii="Times New Roman" w:hAnsi="Times New Roman" w:eastAsia="宋体"/>
          <w:color w:val="000000"/>
          <w:sz w:val="21"/>
          <w:szCs w:val="21"/>
        </w:rPr>
        <w:t xml:space="preserve">Abilene高需求预测点的改善在不同种子下较一致；GÉANT两项配对改进率的95%置信区间均跨零。上述结果只说明标准化空间内的高需求预测误差，尚不能证明原始流量量纲下的峰值保障或容量调度效果。</w:t>
      </w:r>
    </w:p>
    <w:p>
      <w:pPr>
        <w:spacing w:before="80" w:after="20"/>
        <w:ind w:firstLine="0"/>
        <w:jc w:val="left"/>
        <w:outlineLvl w:val="1"/>
        <w:rPr>
          <w:rFonts w:eastAsia="黑体"/>
          <w:b/>
          <w:bCs/>
          <w:szCs w:val="32"/>
        </w:rPr>
        <w:keepNext/>
      </w:pPr>
      <w:r>
        <w:rPr>
          <w:rFonts w:ascii="Times New Roman" w:hAnsi="Times New Roman" w:eastAsia="黑体"/>
          <w:color w:val="000000"/>
          <w:sz w:val="24"/>
          <w:szCs w:val="24"/>
          <w:b/>
        </w:rPr>
        <w:t xml:space="preserve">2.6 泛化能力与研究局限</w:t>
      </w:r>
    </w:p>
    <w:p>
      <w:pPr>
        <w:rPr>
          <w:color w:val="000000"/>
        </w:rPr>
      </w:pPr>
      <w:r>
        <w:rPr>
          <w:rFonts w:ascii="Times New Roman" w:hAnsi="Times New Roman" w:eastAsia="宋体"/>
          <w:color w:val="000000"/>
          <w:sz w:val="21"/>
          <w:szCs w:val="21"/>
        </w:rPr>
        <w:t xml:space="preserve">两套骨干网数据的OD规模和流量分布不同，可用于检验同一建模方案在两个数据集上分别训练后的表现；这不等于训练于一个网络、直接迁移至另一网络的跨网络泛化。本文未开展跨网络迁移、业务类型分层或拓扑变化实验，也未评价在线更新和概念漂移适应。因而不能据现有结果推断其适用于接入网、数据中心或动态路由环境。</w:t>
      </w:r>
    </w:p>
    <w:p>
      <w:pPr>
        <w:rPr>
          <w:color w:val="000000"/>
        </w:rPr>
      </w:pPr>
      <w:r>
        <w:rPr>
          <w:rFonts w:ascii="Times New Roman" w:hAnsi="Times New Roman" w:eastAsia="宋体"/>
          <w:color w:val="000000"/>
          <w:sz w:val="21"/>
          <w:szCs w:val="21"/>
        </w:rPr>
        <w:t xml:space="preserve">当前证据还受观测时期较短、单一时间划分和有限基线范围约束。GÉANT的种子波动及12 h负改进进一步表明，低维汇总统计量未必能提供充分的状态区分。后续验证需要更长时期及不同业务网络的数据，在保持验证与测试时间段固定的条件下绘制训练数据量学习曲线，并进行滚动时间评价；实际应用还需测量原始量纲误差、单窗口端到端时延及链路容量决策收益。</w:t>
      </w:r>
    </w:p>
    <w:p w14:paraId="4F95A7C1" w14:textId="77777777" w:rsidR="00B14FA3" w:rsidRPr="00B14FA3" w:rsidRDefault="00B14FA3" w:rsidP="00593DFC">
      <w:pPr>
        <w:widowControl/>
        <w:spacing w:before="120" w:after="40"/>
        <w:ind w:firstLine="0"/>
        <w:jc w:val="left"/>
        <w:outlineLvl w:val="0"/>
        <w:rPr>
          <w:rFonts w:eastAsia="黑体"/>
          <w:b/>
          <w:kern w:val="0"/>
          <w:sz w:val="28"/>
          <w:szCs w:val="20"/>
        </w:rPr>
      </w:pPr>
      <w:r>
        <w:rPr>
          <w:rFonts w:eastAsia="黑体"/>
          <w:b/>
          <w:color w:val="000000"/>
          <w:sz w:val="24"/>
        </w:rPr>
        <w:t xml:space="preserve">3 </w:t>
      </w:r>
      <w:r>
        <w:rPr>
          <w:rFonts w:eastAsia="黑体"/>
          <w:b/>
          <w:color w:val="000000"/>
          <w:sz w:val="24"/>
        </w:rPr>
        <w:t>结语</w:t>
      </w:r>
    </w:p>
    <w:p w14:paraId="3B518329" w14:textId="0F323C02" w:rsidR="00B14FA3" w:rsidRPr="00B14FA3" w:rsidRDefault="00B14FA3" w:rsidP="00593DFC">
      <w:r>
        <w:rPr>
          <w:rFonts w:ascii="Times New Roman" w:hAnsi="Times New Roman" w:eastAsia="宋体"/>
          <w:color w:val="000000"/>
          <w:sz w:val="21"/>
          <w:szCs w:val="21"/>
        </w:rPr>
        <w:t xml:space="preserve">本文研究独立DLinear专家的多尺度融合，以四维窗口统计量生成样本级尺度权重。24 h预测的重复实验在两套数据上得到较低平均误差，但GÉANT的种子间波动较大，12 h设置下也未获得稳定改善。该方法以增加尺度专家计算为代价控制融合参数规模，现阶段适用于所测历史数据上的离线比较。更长时期数据、不同业务网络和在线端到端评价仍是检验其适用性的必要工作。</w:t>
      </w:r>
    </w:p>
    <w:p w14:paraId="412192E3" w14:textId="77777777" w:rsidR="00B14FA3" w:rsidRPr="00B14FA3" w:rsidRDefault="00B14FA3" w:rsidP="00593DFC">
      <w:pPr>
        <w:widowControl/>
        <w:spacing w:before="120" w:after="40"/>
        <w:ind w:firstLine="0"/>
        <w:jc w:val="left"/>
        <w:rPr>
          <w:rFonts w:eastAsia="黑体"/>
          <w:b/>
          <w:kern w:val="0"/>
          <w:sz w:val="28"/>
          <w:szCs w:val="20"/>
        </w:rPr>
        <w:keepNext/>
      </w:pPr>
      <w:r w:rsidRPr="00B14FA3">
        <w:rPr>
          <w:rFonts w:eastAsia="黑体"/>
          <w:b/>
          <w:color w:val="000000"/>
          <w:kern w:val="0"/>
          <w:sz w:val="24"/>
        </w:rPr>
        <w:t>参考文献</w:t>
      </w:r>
    </w:p>
    <w:p w14:paraId="400CE3E2" w14:textId="77777777" w:rsidR="00B14FA3" w:rsidRPr="00B14FA3" w:rsidRDefault="00B14FA3" w:rsidP="00593DFC">
      <w:pPr>
        <w:snapToGrid w:val="0"/>
        <w:ind w:left="420" w:hanging="420"/>
      </w:pPr>
      <w:bookmarkStart w:id="2" w:name="OLE_LINK4"/>
      <w:r w:rsidRPr="00B14FA3">
        <w:rPr>
          <w:color w:val="000000"/>
          <w:sz w:val="18"/>
          <w:szCs w:val="18"/>
        </w:rPr>
        <w:t>[1]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593DFC">
      <w:pPr>
        <w:snapToGrid w:val="0"/>
        <w:ind w:left="420" w:hanging="420"/>
      </w:pPr>
      <w:r>
        <w:rPr>
          <w:color w:val="000000"/>
          <w:sz w:val="18"/>
          <w:szCs w:val="18"/>
        </w:rPr>
        <w:t>[2] QIN Liang, GU Huaxi, WEI Wenting, et al. Spatio-temporal communication network traffic prediction method based on graph neural network[J]. Information Sciences, 2024, 679: 121003. DOI: 10.1016/j.ins.2024.121003.</w:t>
      </w:r>
    </w:p>
    <w:p w14:paraId="15702092" w14:textId="77777777" w:rsidR="00B14FA3" w:rsidRPr="00B14FA3" w:rsidRDefault="00B14FA3" w:rsidP="00593DFC">
      <w:pPr>
        <w:snapToGrid w:val="0"/>
        <w:ind w:left="420" w:hanging="420"/>
      </w:pPr>
      <w:r>
        <w:rPr>
          <w:color w:val="000000"/>
          <w:sz w:val="18"/>
          <w:szCs w:val="18"/>
        </w:rPr>
        <w:t xml:space="preserve">[3] </w:t>
      </w:r>
      <w:r>
        <w:rPr>
          <w:color w:val="000000"/>
          <w:sz w:val="18"/>
          <w:szCs w:val="18"/>
        </w:rPr>
        <w:t>韦烜</w:t>
      </w:r>
      <w:r>
        <w:rPr>
          <w:color w:val="000000"/>
          <w:sz w:val="18"/>
          <w:szCs w:val="18"/>
        </w:rPr>
        <w:t xml:space="preserve">, </w:t>
      </w:r>
      <w:r>
        <w:rPr>
          <w:color w:val="000000"/>
          <w:sz w:val="18"/>
          <w:szCs w:val="18"/>
        </w:rPr>
        <w:t>刘志华</w:t>
      </w:r>
      <w:r>
        <w:rPr>
          <w:color w:val="000000"/>
          <w:sz w:val="18"/>
          <w:szCs w:val="18"/>
        </w:rPr>
        <w:t xml:space="preserve">, </w:t>
      </w:r>
      <w:r>
        <w:rPr>
          <w:color w:val="000000"/>
          <w:sz w:val="18"/>
          <w:szCs w:val="18"/>
        </w:rPr>
        <w:t>李青</w:t>
      </w:r>
      <w:r>
        <w:rPr>
          <w:color w:val="000000"/>
          <w:sz w:val="18"/>
          <w:szCs w:val="18"/>
        </w:rPr>
        <w:t xml:space="preserve">, </w:t>
      </w:r>
      <w:r>
        <w:rPr>
          <w:color w:val="000000"/>
          <w:sz w:val="18"/>
          <w:szCs w:val="18"/>
        </w:rPr>
        <w:t>等</w:t>
      </w:r>
      <w:r>
        <w:rPr>
          <w:color w:val="000000"/>
          <w:sz w:val="18"/>
          <w:szCs w:val="18"/>
        </w:rPr>
        <w:t xml:space="preserve">. </w:t>
      </w:r>
      <w:r>
        <w:rPr>
          <w:color w:val="000000"/>
          <w:sz w:val="18"/>
          <w:szCs w:val="18"/>
        </w:rPr>
        <w:t>大型</w:t>
      </w:r>
      <w:r>
        <w:rPr>
          <w:color w:val="000000"/>
          <w:sz w:val="18"/>
          <w:szCs w:val="18"/>
        </w:rPr>
        <w:t>IP</w:t>
      </w:r>
      <w:r>
        <w:rPr>
          <w:color w:val="000000"/>
          <w:sz w:val="18"/>
          <w:szCs w:val="18"/>
        </w:rPr>
        <w:t>网络流量矩阵分析预测的探讨研究</w:t>
      </w:r>
      <w:r>
        <w:rPr>
          <w:color w:val="000000"/>
          <w:sz w:val="18"/>
          <w:szCs w:val="18"/>
        </w:rPr>
        <w:t xml:space="preserve">[J]. </w:t>
      </w:r>
      <w:r>
        <w:rPr>
          <w:color w:val="000000"/>
          <w:sz w:val="18"/>
          <w:szCs w:val="18"/>
        </w:rPr>
        <w:t>系统工程与电子技术</w:t>
      </w:r>
      <w:r>
        <w:rPr>
          <w:color w:val="000000"/>
          <w:sz w:val="18"/>
          <w:szCs w:val="18"/>
        </w:rPr>
        <w:t>, 2024, 46(6): 2164-2173. DOI: 10.12305/j.issn.1001-506X.2024.06.35.</w:t>
      </w:r>
    </w:p>
    <w:p w14:paraId="099E392A" w14:textId="77777777" w:rsidR="00B14FA3" w:rsidRPr="00B14FA3" w:rsidRDefault="00B14FA3" w:rsidP="00593DFC">
      <w:pPr>
        <w:snapToGrid w:val="0"/>
        <w:ind w:left="420" w:hanging="420"/>
      </w:pPr>
      <w:r>
        <w:rPr>
          <w:color w:val="000000"/>
          <w:sz w:val="18"/>
          <w:szCs w:val="18"/>
        </w:rPr>
        <w:t xml:space="preserve">[4] </w:t>
      </w:r>
      <w:r>
        <w:rPr>
          <w:color w:val="000000"/>
          <w:sz w:val="18"/>
          <w:szCs w:val="18"/>
        </w:rPr>
        <w:t>唐文杰</w:t>
      </w:r>
      <w:r>
        <w:rPr>
          <w:color w:val="000000"/>
          <w:sz w:val="18"/>
          <w:szCs w:val="18"/>
        </w:rPr>
        <w:t xml:space="preserve">, </w:t>
      </w:r>
      <w:r>
        <w:rPr>
          <w:color w:val="000000"/>
          <w:sz w:val="18"/>
          <w:szCs w:val="18"/>
        </w:rPr>
        <w:t>肖一磊</w:t>
      </w:r>
      <w:r>
        <w:rPr>
          <w:color w:val="000000"/>
          <w:sz w:val="18"/>
          <w:szCs w:val="18"/>
        </w:rPr>
        <w:t xml:space="preserve">, </w:t>
      </w:r>
      <w:r>
        <w:rPr>
          <w:color w:val="000000"/>
          <w:sz w:val="18"/>
          <w:szCs w:val="18"/>
        </w:rPr>
        <w:t>孔祥宇</w:t>
      </w:r>
      <w:r>
        <w:rPr>
          <w:color w:val="000000"/>
          <w:sz w:val="18"/>
          <w:szCs w:val="18"/>
        </w:rPr>
        <w:t xml:space="preserve">, </w:t>
      </w:r>
      <w:r>
        <w:rPr>
          <w:color w:val="000000"/>
          <w:sz w:val="18"/>
          <w:szCs w:val="18"/>
        </w:rPr>
        <w:t>等</w:t>
      </w:r>
      <w:r>
        <w:rPr>
          <w:color w:val="000000"/>
          <w:sz w:val="18"/>
          <w:szCs w:val="18"/>
        </w:rPr>
        <w:t>. CycleLLH</w:t>
      </w:r>
      <w:r>
        <w:rPr>
          <w:color w:val="000000"/>
          <w:sz w:val="18"/>
          <w:szCs w:val="18"/>
        </w:rPr>
        <w:t>：一种基于周期性整合的新型网络流量预测模型</w:t>
      </w:r>
      <w:r>
        <w:rPr>
          <w:color w:val="000000"/>
          <w:sz w:val="18"/>
          <w:szCs w:val="18"/>
        </w:rPr>
        <w:t xml:space="preserve">[J]. </w:t>
      </w:r>
      <w:r>
        <w:rPr>
          <w:color w:val="000000"/>
          <w:sz w:val="18"/>
          <w:szCs w:val="18"/>
        </w:rPr>
        <w:t>计算机学报</w:t>
      </w:r>
      <w:r>
        <w:rPr>
          <w:color w:val="000000"/>
          <w:sz w:val="18"/>
          <w:szCs w:val="18"/>
        </w:rPr>
        <w:t>, 2024, 47(12): 2867-2888. DOI: 10.11897/SP.J.1016.2024.02867.</w:t>
      </w:r>
    </w:p>
    <w:p w14:paraId="1603B59C" w14:textId="77777777" w:rsidR="00B14FA3" w:rsidRPr="00B14FA3" w:rsidRDefault="00B14FA3" w:rsidP="00593DFC">
      <w:pPr>
        <w:snapToGrid w:val="0"/>
        <w:ind w:left="420" w:hanging="420"/>
      </w:pPr>
      <w:r>
        <w:rPr>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593DFC">
      <w:pPr>
        <w:snapToGrid w:val="0"/>
        <w:ind w:left="420" w:hanging="420"/>
      </w:pPr>
      <w:r>
        <w:rPr>
          <w:color w:val="000000"/>
          <w:sz w:val="18"/>
          <w:szCs w:val="18"/>
        </w:rPr>
        <w:t>[6] ZENG Ailing, CHEN Muxi, ZHANG Lei, et al. Are transformers effective for time series forecasting?[J]. Proceedings of the AAAI Conference on Artificial Intelligence, 2023, 37(9): 11121-11128. DOI: 10.1609/aaai.v37i9.26317.</w:t>
      </w:r>
    </w:p>
    <w:p w14:paraId="6492CEBF" w14:textId="77777777" w:rsidR="00B14FA3" w:rsidRPr="00B14FA3" w:rsidRDefault="00B14FA3" w:rsidP="00593DFC">
      <w:pPr>
        <w:snapToGrid w:val="0"/>
        <w:ind w:left="420" w:hanging="420"/>
      </w:pPr>
      <w:r>
        <w:rPr>
          <w:color w:val="000000"/>
          <w:sz w:val="18"/>
          <w:szCs w:val="18"/>
        </w:rPr>
        <w:t>[7] WANG Shiyu, WU Haixu, SHI Xiaoming, et al. TimeMixer: decomposable multiscale mixing for time series forecasting[C/OL]//International Conference on Learning Representations. 2024[2026-10-03]. https://openreview.net/forum?id=7oLshfEIC2.</w:t>
      </w:r>
    </w:p>
    <w:p w14:paraId="6F127357" w14:textId="77777777" w:rsidR="00B14FA3" w:rsidRPr="00B14FA3" w:rsidRDefault="00B14FA3" w:rsidP="00593DFC">
      <w:pPr>
        <w:snapToGrid w:val="0"/>
        <w:ind w:left="420" w:hanging="420"/>
      </w:pPr>
      <w:r>
        <w:rPr>
          <w:color w:val="000000"/>
          <w:sz w:val="18"/>
          <w:szCs w:val="18"/>
        </w:rPr>
        <w:t>[8] ZHANG Tianping, ZHANG Yizhuo, CAO Wei, et al. Less is more: fast multivariate time series forecasting with light sampling-oriented MLP structures[EB/OL]. (2022-07-04)[2026-10-03]. https://arxiv.org/abs/2207.01186. DOI: 10.48550/arXiv.2207.01186.</w:t>
      </w:r>
    </w:p>
    <w:p w14:paraId="31DFB769" w14:textId="77777777" w:rsidR="00B14FA3" w:rsidRPr="00B14FA3" w:rsidRDefault="00B14FA3" w:rsidP="00593DFC">
      <w:pPr>
        <w:snapToGrid w:val="0"/>
        <w:ind w:left="420" w:hanging="420"/>
      </w:pPr>
      <w:r>
        <w:rPr>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593DFC">
      <w:pPr>
        <w:snapToGrid w:val="0"/>
        <w:ind w:left="420" w:hanging="420"/>
      </w:pPr>
      <w:r>
        <w:rPr>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593DFC">
      <w:pPr>
        <w:snapToGrid w:val="0"/>
        <w:ind w:left="420" w:hanging="420"/>
      </w:pPr>
      <w:r>
        <w:rPr>
          <w:color w:val="000000"/>
          <w:sz w:val="18"/>
          <w:szCs w:val="18"/>
        </w:rPr>
        <w:t>[11] UHLIG S, QUOITIN B, LEPROPRE J, et al. Providing public intradomain traffic matrices to the research community[J]. ACM SIGCOMM Computer Communication Review, 2006, 36(1): 83-86. DOI: 10.1145/1111322.1111341.</w:t>
      </w:r>
      <w:bookmarkEnd w:id="2"/>
    </w:p>
    <w:sectPr w:rsidR="00B14FA3" w:rsidRPr="00B14FA3" w:rsidSect="00F23B67">
      <w:headerReference w:type="default" r:id="rId11"/>
      <w:footerReference w:type="first" r:id="rId12"/>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8A3EA" w14:textId="77777777" w:rsidR="001B2468" w:rsidRDefault="001B2468" w:rsidP="00F23B67">
      <w:r>
        <w:separator/>
      </w:r>
    </w:p>
  </w:endnote>
  <w:endnote w:type="continuationSeparator" w:id="0">
    <w:p w14:paraId="5A8192BA" w14:textId="77777777" w:rsidR="001B2468" w:rsidRDefault="001B2468"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F4D6" w14:textId="77777777" w:rsidR="00F23B67" w:rsidRDefault="00F23B67">
    <w:pPr>
      <w:keepLines/>
      <w:jc w:val="left"/>
    </w:pPr>
    <w:r>
      <w:rPr>
        <w:color w:val="000000"/>
        <w:sz w:val="18"/>
        <w:szCs w:val="18"/>
      </w:rPr>
      <w:t>收稿日期：</w:t>
    </w:r>
    <w:r>
      <w:rPr>
        <w:color w:val="000000"/>
        <w:sz w:val="18"/>
        <w:szCs w:val="18"/>
      </w:rPr>
      <w:t>[</w:t>
    </w:r>
    <w:r>
      <w:rPr>
        <w:color w:val="000000"/>
        <w:sz w:val="18"/>
        <w:szCs w:val="18"/>
      </w:rPr>
      <w:t>编辑部填写</w:t>
    </w:r>
    <w:r>
      <w:rPr>
        <w:color w:val="000000"/>
        <w:sz w:val="18"/>
        <w:szCs w:val="18"/>
      </w:rPr>
      <w:t>]</w:t>
    </w:r>
  </w:p>
  <w:p w14:paraId="360816C8" w14:textId="42810BA7" w:rsidR="00F23B67" w:rsidRDefault="00F23B67" w:rsidP="00027F5B">
    <w:pPr>
      <w:keepLines/>
      <w:jc w:val="left"/>
    </w:pPr>
    <w:r>
      <w:rPr>
        <w:color w:val="000000"/>
        <w:sz w:val="18"/>
        <w:szCs w:val="18"/>
      </w:rPr>
      <w:t>第一作者简介：</w:t>
    </w:r>
    <w:r w:rsidR="00027F5B">
      <w:rPr>
        <w:rFonts w:hint="eastAsia"/>
        <w:color w:val="000000"/>
        <w:sz w:val="18"/>
        <w:szCs w:val="18"/>
      </w:rPr>
      <w:t>柯亚文</w:t>
    </w:r>
    <w:r>
      <w:rPr>
        <w:color w:val="000000"/>
        <w:sz w:val="18"/>
        <w:szCs w:val="18"/>
      </w:rPr>
      <w:t>（</w:t>
    </w:r>
    <w:r w:rsidR="00027F5B">
      <w:rPr>
        <w:rFonts w:hint="eastAsia"/>
        <w:color w:val="000000"/>
        <w:sz w:val="18"/>
        <w:szCs w:val="18"/>
      </w:rPr>
      <w:t>1998</w:t>
    </w:r>
    <w:r>
      <w:rPr>
        <w:color w:val="000000"/>
        <w:sz w:val="18"/>
        <w:szCs w:val="18"/>
      </w:rPr>
      <w:t>—</w:t>
    </w:r>
    <w:r>
      <w:rPr>
        <w:color w:val="000000"/>
        <w:sz w:val="18"/>
        <w:szCs w:val="18"/>
      </w:rPr>
      <w:t>），</w:t>
    </w:r>
    <w:r w:rsidR="00027F5B">
      <w:rPr>
        <w:rFonts w:hint="eastAsia"/>
        <w:color w:val="000000"/>
        <w:sz w:val="18"/>
        <w:szCs w:val="18"/>
      </w:rPr>
      <w:t>男</w:t>
    </w:r>
    <w:r>
      <w:rPr>
        <w:color w:val="000000"/>
        <w:sz w:val="18"/>
        <w:szCs w:val="18"/>
      </w:rPr>
      <w:t>，</w:t>
    </w:r>
    <w:r w:rsidR="00027F5B">
      <w:rPr>
        <w:rFonts w:hint="eastAsia"/>
        <w:color w:val="000000"/>
        <w:sz w:val="18"/>
        <w:szCs w:val="18"/>
      </w:rPr>
      <w:t>助教</w:t>
    </w:r>
    <w:r>
      <w:rPr>
        <w:color w:val="000000"/>
        <w:sz w:val="18"/>
        <w:szCs w:val="18"/>
      </w:rPr>
      <w:t>，</w:t>
    </w:r>
    <w:r w:rsidR="00027F5B">
      <w:rPr>
        <w:rFonts w:hint="eastAsia"/>
        <w:color w:val="000000"/>
        <w:sz w:val="18"/>
        <w:szCs w:val="18"/>
      </w:rPr>
      <w:t>硕士</w:t>
    </w:r>
    <w:r>
      <w:rPr>
        <w:color w:val="000000"/>
        <w:sz w:val="18"/>
        <w:szCs w:val="18"/>
      </w:rPr>
      <w:t>，研究方向：</w:t>
    </w:r>
    <w:r w:rsidR="003C2E40">
      <w:rPr>
        <w:rFonts w:hint="eastAsia"/>
        <w:color w:val="000000"/>
        <w:sz w:val="18"/>
        <w:szCs w:val="18"/>
      </w:rPr>
      <w:t>计算机软件</w:t>
    </w:r>
    <w:r>
      <w:rPr>
        <w:color w:val="000000"/>
        <w:sz w:val="18"/>
        <w:szCs w:val="18"/>
      </w:rPr>
      <w:t>。电子邮箱：</w:t>
    </w:r>
    <w:r w:rsidR="00027F5B">
      <w:rPr>
        <w:rFonts w:hint="eastAsia"/>
        <w:color w:val="000000"/>
        <w:sz w:val="18"/>
        <w:szCs w:val="18"/>
      </w:rPr>
      <w:t xml:space="preserve">keyawen@afc.edu.cn </w:t>
    </w:r>
    <w:r>
      <w:rPr>
        <w:color w:val="000000"/>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CE5DA" w14:textId="77777777" w:rsidR="001B2468" w:rsidRDefault="001B2468" w:rsidP="00F23B67">
      <w:r>
        <w:separator/>
      </w:r>
    </w:p>
  </w:footnote>
  <w:footnote w:type="continuationSeparator" w:id="0">
    <w:p w14:paraId="497C1316" w14:textId="77777777" w:rsidR="001B2468" w:rsidRDefault="001B2468"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27F5B"/>
    <w:rsid w:val="000376E3"/>
    <w:rsid w:val="00054E28"/>
    <w:rsid w:val="000E0B0B"/>
    <w:rsid w:val="00135816"/>
    <w:rsid w:val="001415A7"/>
    <w:rsid w:val="00144EB6"/>
    <w:rsid w:val="001B2468"/>
    <w:rsid w:val="00245F58"/>
    <w:rsid w:val="00254348"/>
    <w:rsid w:val="002F6B79"/>
    <w:rsid w:val="002F7432"/>
    <w:rsid w:val="003278FD"/>
    <w:rsid w:val="003341C1"/>
    <w:rsid w:val="0034143A"/>
    <w:rsid w:val="003B1B14"/>
    <w:rsid w:val="003C2E40"/>
    <w:rsid w:val="003E35DB"/>
    <w:rsid w:val="003F55FC"/>
    <w:rsid w:val="003F616F"/>
    <w:rsid w:val="00404FA8"/>
    <w:rsid w:val="00497300"/>
    <w:rsid w:val="004B4D5F"/>
    <w:rsid w:val="005032D3"/>
    <w:rsid w:val="00505A70"/>
    <w:rsid w:val="005378A1"/>
    <w:rsid w:val="00545955"/>
    <w:rsid w:val="005538D3"/>
    <w:rsid w:val="00593B15"/>
    <w:rsid w:val="00593DFC"/>
    <w:rsid w:val="005C7AB1"/>
    <w:rsid w:val="005F6077"/>
    <w:rsid w:val="006309B6"/>
    <w:rsid w:val="00662C25"/>
    <w:rsid w:val="00693BC8"/>
    <w:rsid w:val="00756612"/>
    <w:rsid w:val="00790E2F"/>
    <w:rsid w:val="007F4741"/>
    <w:rsid w:val="00805EB3"/>
    <w:rsid w:val="00833E9D"/>
    <w:rsid w:val="00852CB1"/>
    <w:rsid w:val="008721A4"/>
    <w:rsid w:val="00891BF8"/>
    <w:rsid w:val="00917D78"/>
    <w:rsid w:val="00921A07"/>
    <w:rsid w:val="00960F91"/>
    <w:rsid w:val="009A3654"/>
    <w:rsid w:val="009D5031"/>
    <w:rsid w:val="00A2416A"/>
    <w:rsid w:val="00A52473"/>
    <w:rsid w:val="00A54113"/>
    <w:rsid w:val="00AB5D3C"/>
    <w:rsid w:val="00B10182"/>
    <w:rsid w:val="00B14FA3"/>
    <w:rsid w:val="00B15C9D"/>
    <w:rsid w:val="00B34D42"/>
    <w:rsid w:val="00BD323E"/>
    <w:rsid w:val="00C075CF"/>
    <w:rsid w:val="00C334D8"/>
    <w:rsid w:val="00C871BE"/>
    <w:rsid w:val="00D135DE"/>
    <w:rsid w:val="00D21814"/>
    <w:rsid w:val="00D271B0"/>
    <w:rsid w:val="00D32DC3"/>
    <w:rsid w:val="00D53327"/>
    <w:rsid w:val="00D537D7"/>
    <w:rsid w:val="00D61130"/>
    <w:rsid w:val="00D65728"/>
    <w:rsid w:val="00D90B88"/>
    <w:rsid w:val="00DD4A44"/>
    <w:rsid w:val="00E3331E"/>
    <w:rsid w:val="00E35DEE"/>
    <w:rsid w:val="00E407AF"/>
    <w:rsid w:val="00EE5DC0"/>
    <w:rsid w:val="00EF23D4"/>
    <w:rsid w:val="00F071B1"/>
    <w:rsid w:val="00F10FB3"/>
    <w:rsid w:val="00F23B67"/>
    <w:rsid w:val="00F91580"/>
    <w:rsid w:val="00FE53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10</Pages>
  <Words>2278</Words>
  <Characters>12991</Characters>
  <Application>Microsoft Office Word</Application>
  <DocSecurity>0</DocSecurity>
  <Lines>108</Lines>
  <Paragraphs>30</Paragraphs>
  <ScaleCrop>false</ScaleCrop>
  <Company/>
  <LinksUpToDate>false</LinksUpToDate>
  <CharactersWithSpaces>15239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25</cp:revision>
  <dcterms:created xsi:type="dcterms:W3CDTF">2026-09-15T14:23:00Z</dcterms:created>
  <dcterms:modified xsi:type="dcterms:W3CDTF">2026-10-08T12:02:00Z</dcterms:modified>
</cp:coreProperties>
</file>